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A1B02">
      <w:pPr>
        <w:jc w:val="center"/>
        <w:rPr>
          <w:rFonts w:hint="eastAsia" w:ascii="黑体" w:eastAsia="黑体"/>
          <w:sz w:val="44"/>
          <w:szCs w:val="20"/>
        </w:rPr>
      </w:pPr>
      <w:r>
        <w:rPr>
          <w:rFonts w:hint="eastAsia" w:ascii="黑体" w:eastAsia="黑体"/>
          <w:sz w:val="44"/>
          <w:szCs w:val="20"/>
        </w:rPr>
        <w:t>普通高等学校本科专业设置</w:t>
      </w:r>
    </w:p>
    <w:p w14:paraId="677B1256">
      <w:pPr>
        <w:spacing w:before="27"/>
        <w:ind w:left="1042" w:right="1167"/>
        <w:jc w:val="center"/>
        <w:rPr>
          <w:rFonts w:hint="eastAsia" w:ascii="黑体" w:eastAsia="黑体"/>
          <w:sz w:val="44"/>
          <w:szCs w:val="20"/>
        </w:rPr>
      </w:pPr>
      <w:r>
        <w:rPr>
          <w:rFonts w:hint="eastAsia" w:ascii="黑体" w:eastAsia="黑体"/>
          <w:sz w:val="44"/>
          <w:szCs w:val="20"/>
          <w:lang w:val="en-US"/>
        </w:rPr>
        <w:t>预备案（申报）材料</w:t>
      </w: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9"/>
        <w:gridCol w:w="2268"/>
        <w:gridCol w:w="2268"/>
        <w:gridCol w:w="2743"/>
      </w:tblGrid>
      <w:tr w14:paraId="68724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2289" w:type="dxa"/>
            <w:vAlign w:val="center"/>
          </w:tcPr>
          <w:p w14:paraId="777B5BAF">
            <w:pPr>
              <w:pStyle w:val="12"/>
              <w:spacing w:before="16"/>
              <w:ind w:left="94" w:right="88"/>
              <w:jc w:val="center"/>
              <w:rPr>
                <w:rFonts w:hint="eastAsia" w:ascii="黑体" w:hAnsi="黑体" w:eastAsia="黑体"/>
                <w:sz w:val="24"/>
              </w:rPr>
            </w:pPr>
            <w:r>
              <w:rPr>
                <w:rFonts w:hint="eastAsia" w:ascii="黑体" w:hAnsi="黑体" w:eastAsia="黑体"/>
                <w:sz w:val="24"/>
              </w:rPr>
              <w:t>所在学院</w:t>
            </w:r>
          </w:p>
        </w:tc>
        <w:tc>
          <w:tcPr>
            <w:tcW w:w="2268" w:type="dxa"/>
            <w:vAlign w:val="center"/>
          </w:tcPr>
          <w:p w14:paraId="52793EBC">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资源与土木工程学院</w:t>
            </w:r>
          </w:p>
        </w:tc>
        <w:tc>
          <w:tcPr>
            <w:tcW w:w="2268" w:type="dxa"/>
            <w:vAlign w:val="center"/>
          </w:tcPr>
          <w:p w14:paraId="10689D5F">
            <w:pPr>
              <w:pStyle w:val="12"/>
              <w:jc w:val="center"/>
              <w:rPr>
                <w:rFonts w:hint="eastAsia" w:ascii="黑体" w:hAnsi="黑体" w:eastAsia="黑体" w:cs="Times New Roman"/>
                <w:sz w:val="24"/>
                <w:lang w:val="en-US"/>
              </w:rPr>
            </w:pPr>
            <w:r>
              <w:rPr>
                <w:rFonts w:hint="eastAsia" w:ascii="黑体" w:hAnsi="黑体" w:eastAsia="黑体"/>
                <w:sz w:val="24"/>
                <w:lang w:val="en-US"/>
              </w:rPr>
              <w:t>预备案（申报）</w:t>
            </w:r>
            <w:r>
              <w:rPr>
                <w:rFonts w:ascii="黑体" w:hAnsi="黑体" w:eastAsia="黑体"/>
                <w:sz w:val="24"/>
              </w:rPr>
              <w:t>类型</w:t>
            </w:r>
          </w:p>
        </w:tc>
        <w:tc>
          <w:tcPr>
            <w:tcW w:w="2743" w:type="dxa"/>
            <w:vAlign w:val="center"/>
          </w:tcPr>
          <w:p w14:paraId="186A0EA5">
            <w:pPr>
              <w:pStyle w:val="12"/>
              <w:jc w:val="center"/>
              <w:rPr>
                <w:rFonts w:ascii="仿宋_GB2312" w:hAnsi="Times New Roman" w:eastAsia="仿宋_GB2312" w:cs="Times New Roman"/>
                <w:sz w:val="24"/>
              </w:rPr>
            </w:pPr>
            <w:r>
              <w:rPr>
                <w:rFonts w:hint="eastAsia" w:ascii="仿宋_GB2312" w:hAnsi="Times New Roman" w:eastAsia="仿宋_GB2312" w:cs="Times New Roman"/>
                <w:sz w:val="24"/>
              </w:rPr>
              <w:sym w:font="Wingdings 2" w:char="F052"/>
            </w:r>
            <w:r>
              <w:rPr>
                <w:rFonts w:hint="eastAsia" w:ascii="仿宋_GB2312" w:hAnsi="Times New Roman" w:eastAsia="仿宋_GB2312" w:cs="Times New Roman"/>
                <w:sz w:val="24"/>
              </w:rPr>
              <w:t>备案专业</w:t>
            </w:r>
            <w:r>
              <w:rPr>
                <w:rFonts w:hint="eastAsia" w:ascii="仿宋_GB2312" w:hAnsi="Times New Roman" w:eastAsia="仿宋_GB2312" w:cs="Times New Roman"/>
                <w:sz w:val="24"/>
                <w:lang w:val="en-US"/>
              </w:rPr>
              <w:t xml:space="preserve"> </w:t>
            </w:r>
          </w:p>
          <w:p w14:paraId="37C08E35">
            <w:pPr>
              <w:pStyle w:val="12"/>
              <w:jc w:val="center"/>
              <w:rPr>
                <w:rFonts w:ascii="仿宋_GB2312" w:hAnsi="Times New Roman" w:eastAsia="仿宋_GB2312" w:cs="Times New Roman"/>
                <w:sz w:val="24"/>
              </w:rPr>
            </w:pPr>
            <w:r>
              <w:rPr>
                <w:rFonts w:hint="eastAsia" w:ascii="仿宋_GB2312" w:hAnsi="Times New Roman" w:eastAsia="仿宋_GB2312" w:cs="Times New Roman"/>
                <w:sz w:val="24"/>
              </w:rPr>
              <w:sym w:font="Wingdings 2" w:char="00A3"/>
            </w:r>
            <w:r>
              <w:rPr>
                <w:rFonts w:ascii="仿宋_GB2312" w:hAnsi="Times New Roman" w:eastAsia="仿宋_GB2312" w:cs="Times New Roman"/>
                <w:sz w:val="24"/>
              </w:rPr>
              <w:t>国控专业</w:t>
            </w:r>
            <w:r>
              <w:rPr>
                <w:rFonts w:hint="eastAsia" w:ascii="仿宋_GB2312" w:hAnsi="Times New Roman" w:eastAsia="仿宋_GB2312" w:cs="Times New Roman"/>
                <w:sz w:val="24"/>
                <w:lang w:val="en-US"/>
              </w:rPr>
              <w:t xml:space="preserve"> </w:t>
            </w:r>
          </w:p>
          <w:p w14:paraId="711C5EEB">
            <w:pPr>
              <w:pStyle w:val="12"/>
              <w:jc w:val="center"/>
              <w:rPr>
                <w:rFonts w:ascii="Times New Roman" w:hAnsi="Times New Roman" w:eastAsia="仿宋_GB2312" w:cs="Times New Roman"/>
                <w:sz w:val="24"/>
              </w:rPr>
            </w:pPr>
            <w:r>
              <w:rPr>
                <w:rFonts w:hint="eastAsia" w:ascii="仿宋_GB2312" w:hAnsi="Times New Roman" w:eastAsia="仿宋_GB2312" w:cs="Times New Roman"/>
                <w:sz w:val="24"/>
              </w:rPr>
              <w:sym w:font="Wingdings 2" w:char="00A3"/>
            </w:r>
            <w:r>
              <w:rPr>
                <w:rFonts w:ascii="仿宋_GB2312" w:hAnsi="Times New Roman" w:eastAsia="仿宋_GB2312" w:cs="Times New Roman"/>
                <w:sz w:val="24"/>
              </w:rPr>
              <w:t>目录外</w:t>
            </w:r>
            <w:r>
              <w:rPr>
                <w:rFonts w:hint="eastAsia" w:ascii="仿宋_GB2312" w:hAnsi="Times New Roman" w:eastAsia="仿宋_GB2312" w:cs="Times New Roman"/>
                <w:sz w:val="24"/>
              </w:rPr>
              <w:t>新</w:t>
            </w:r>
            <w:r>
              <w:rPr>
                <w:rFonts w:ascii="仿宋_GB2312" w:hAnsi="Times New Roman" w:eastAsia="仿宋_GB2312" w:cs="Times New Roman"/>
                <w:sz w:val="24"/>
              </w:rPr>
              <w:t>专业</w:t>
            </w:r>
          </w:p>
        </w:tc>
      </w:tr>
      <w:tr w14:paraId="6D3DF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2289" w:type="dxa"/>
            <w:vAlign w:val="center"/>
          </w:tcPr>
          <w:p w14:paraId="03B981F8">
            <w:pPr>
              <w:pStyle w:val="12"/>
              <w:spacing w:before="16"/>
              <w:ind w:left="94" w:right="88"/>
              <w:jc w:val="center"/>
              <w:rPr>
                <w:rFonts w:hint="eastAsia" w:ascii="黑体" w:hAnsi="黑体" w:eastAsia="黑体"/>
                <w:sz w:val="24"/>
                <w:lang w:val="en-US"/>
              </w:rPr>
            </w:pPr>
            <w:r>
              <w:rPr>
                <w:rFonts w:ascii="黑体" w:hAnsi="黑体" w:eastAsia="黑体" w:cs="Times New Roman"/>
                <w:sz w:val="24"/>
              </w:rPr>
              <w:t>专业名称</w:t>
            </w:r>
          </w:p>
        </w:tc>
        <w:tc>
          <w:tcPr>
            <w:tcW w:w="2268" w:type="dxa"/>
            <w:vAlign w:val="center"/>
          </w:tcPr>
          <w:p w14:paraId="7EBBAB0E">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资源环境大数据工程</w:t>
            </w:r>
          </w:p>
        </w:tc>
        <w:tc>
          <w:tcPr>
            <w:tcW w:w="2268" w:type="dxa"/>
            <w:vAlign w:val="center"/>
          </w:tcPr>
          <w:p w14:paraId="009E3F7C">
            <w:pPr>
              <w:pStyle w:val="12"/>
              <w:jc w:val="center"/>
              <w:rPr>
                <w:rFonts w:hint="eastAsia" w:ascii="黑体" w:hAnsi="黑体" w:eastAsia="黑体" w:cs="Times New Roman"/>
                <w:sz w:val="24"/>
                <w:lang w:val="en-US"/>
              </w:rPr>
            </w:pPr>
            <w:r>
              <w:rPr>
                <w:rFonts w:hint="eastAsia" w:ascii="黑体" w:hAnsi="黑体" w:eastAsia="黑体"/>
                <w:sz w:val="24"/>
              </w:rPr>
              <w:t>专业代码</w:t>
            </w:r>
          </w:p>
        </w:tc>
        <w:tc>
          <w:tcPr>
            <w:tcW w:w="2743" w:type="dxa"/>
            <w:vAlign w:val="center"/>
          </w:tcPr>
          <w:p w14:paraId="51F63437">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081407T</w:t>
            </w:r>
          </w:p>
        </w:tc>
      </w:tr>
      <w:tr w14:paraId="453EF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14:paraId="7D20ADDD">
            <w:pPr>
              <w:pStyle w:val="12"/>
              <w:spacing w:before="16"/>
              <w:ind w:left="94" w:right="88"/>
              <w:jc w:val="center"/>
              <w:rPr>
                <w:rFonts w:hint="eastAsia" w:ascii="黑体" w:hAnsi="黑体" w:eastAsia="黑体"/>
                <w:sz w:val="24"/>
                <w:lang w:val="en-US"/>
              </w:rPr>
            </w:pPr>
            <w:r>
              <w:rPr>
                <w:rFonts w:hint="eastAsia" w:ascii="黑体" w:hAnsi="黑体" w:eastAsia="黑体"/>
                <w:sz w:val="24"/>
              </w:rPr>
              <w:t>学位授予</w:t>
            </w:r>
            <w:r>
              <w:rPr>
                <w:rFonts w:ascii="黑体" w:hAnsi="黑体" w:eastAsia="黑体"/>
                <w:sz w:val="24"/>
              </w:rPr>
              <w:t>门类</w:t>
            </w:r>
          </w:p>
        </w:tc>
        <w:tc>
          <w:tcPr>
            <w:tcW w:w="2268" w:type="dxa"/>
            <w:vAlign w:val="center"/>
          </w:tcPr>
          <w:p w14:paraId="69BAE919">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工学</w:t>
            </w:r>
          </w:p>
        </w:tc>
        <w:tc>
          <w:tcPr>
            <w:tcW w:w="2268" w:type="dxa"/>
            <w:vAlign w:val="center"/>
          </w:tcPr>
          <w:p w14:paraId="428D60FD">
            <w:pPr>
              <w:pStyle w:val="12"/>
              <w:jc w:val="center"/>
              <w:rPr>
                <w:rFonts w:hint="eastAsia" w:ascii="黑体" w:hAnsi="黑体" w:eastAsia="黑体" w:cs="Times New Roman"/>
                <w:sz w:val="24"/>
              </w:rPr>
            </w:pPr>
            <w:r>
              <w:rPr>
                <w:rFonts w:ascii="黑体" w:hAnsi="黑体" w:eastAsia="黑体" w:cs="Times New Roman"/>
                <w:sz w:val="24"/>
              </w:rPr>
              <w:t>修业年限</w:t>
            </w:r>
          </w:p>
        </w:tc>
        <w:tc>
          <w:tcPr>
            <w:tcW w:w="2743" w:type="dxa"/>
            <w:vAlign w:val="center"/>
          </w:tcPr>
          <w:p w14:paraId="44CE9BE2">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四年</w:t>
            </w:r>
          </w:p>
        </w:tc>
      </w:tr>
      <w:tr w14:paraId="604A3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14:paraId="1C56701B">
            <w:pPr>
              <w:pStyle w:val="12"/>
              <w:spacing w:before="16"/>
              <w:ind w:left="94" w:right="88"/>
              <w:jc w:val="center"/>
              <w:rPr>
                <w:rFonts w:hint="eastAsia" w:ascii="黑体" w:hAnsi="黑体" w:eastAsia="黑体"/>
                <w:sz w:val="24"/>
                <w:lang w:val="en-US"/>
              </w:rPr>
            </w:pPr>
            <w:r>
              <w:rPr>
                <w:rFonts w:hint="eastAsia" w:ascii="黑体" w:hAnsi="黑体" w:eastAsia="黑体"/>
                <w:sz w:val="24"/>
                <w:lang w:val="en-US"/>
              </w:rPr>
              <w:t>所属门类</w:t>
            </w:r>
            <w:r>
              <w:rPr>
                <w:rFonts w:hint="eastAsia" w:ascii="黑体" w:hAnsi="黑体" w:eastAsia="黑体" w:cs="Times New Roman"/>
                <w:sz w:val="24"/>
                <w:lang w:val="en-US"/>
              </w:rPr>
              <w:t>代码</w:t>
            </w:r>
          </w:p>
        </w:tc>
        <w:tc>
          <w:tcPr>
            <w:tcW w:w="2268" w:type="dxa"/>
            <w:vAlign w:val="center"/>
          </w:tcPr>
          <w:p w14:paraId="3B17890F">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08</w:t>
            </w:r>
          </w:p>
        </w:tc>
        <w:tc>
          <w:tcPr>
            <w:tcW w:w="2268" w:type="dxa"/>
            <w:vAlign w:val="center"/>
          </w:tcPr>
          <w:p w14:paraId="10F1E8B5">
            <w:pPr>
              <w:pStyle w:val="12"/>
              <w:jc w:val="center"/>
              <w:rPr>
                <w:rFonts w:hint="eastAsia" w:ascii="黑体" w:hAnsi="黑体" w:eastAsia="黑体" w:cs="Times New Roman"/>
                <w:sz w:val="24"/>
                <w:lang w:val="en-US"/>
              </w:rPr>
            </w:pPr>
            <w:r>
              <w:rPr>
                <w:rFonts w:hint="eastAsia" w:ascii="黑体" w:hAnsi="黑体" w:eastAsia="黑体" w:cs="Times New Roman"/>
                <w:sz w:val="24"/>
                <w:lang w:val="en-US"/>
              </w:rPr>
              <w:t>所属门类</w:t>
            </w:r>
          </w:p>
        </w:tc>
        <w:tc>
          <w:tcPr>
            <w:tcW w:w="2743" w:type="dxa"/>
            <w:vAlign w:val="center"/>
          </w:tcPr>
          <w:p w14:paraId="2B791C94">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工学</w:t>
            </w:r>
          </w:p>
        </w:tc>
      </w:tr>
      <w:tr w14:paraId="21E32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14:paraId="19FDEF3C">
            <w:pPr>
              <w:pStyle w:val="12"/>
              <w:spacing w:before="16"/>
              <w:ind w:left="94" w:right="88"/>
              <w:jc w:val="center"/>
              <w:rPr>
                <w:rFonts w:hint="eastAsia" w:ascii="黑体" w:hAnsi="黑体" w:eastAsia="黑体"/>
                <w:sz w:val="24"/>
                <w:lang w:val="en-US"/>
              </w:rPr>
            </w:pPr>
            <w:r>
              <w:rPr>
                <w:rFonts w:hint="eastAsia" w:ascii="黑体" w:hAnsi="黑体" w:eastAsia="黑体"/>
                <w:sz w:val="24"/>
                <w:lang w:val="en-US"/>
              </w:rPr>
              <w:t>所属专业类</w:t>
            </w:r>
            <w:r>
              <w:rPr>
                <w:rFonts w:hint="eastAsia" w:ascii="黑体" w:hAnsi="黑体" w:eastAsia="黑体" w:cs="Times New Roman"/>
                <w:sz w:val="24"/>
                <w:lang w:val="en-US"/>
              </w:rPr>
              <w:t>代码</w:t>
            </w:r>
          </w:p>
        </w:tc>
        <w:tc>
          <w:tcPr>
            <w:tcW w:w="2268" w:type="dxa"/>
            <w:vAlign w:val="center"/>
          </w:tcPr>
          <w:p w14:paraId="3DCF7F67">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0814</w:t>
            </w:r>
          </w:p>
        </w:tc>
        <w:tc>
          <w:tcPr>
            <w:tcW w:w="2268" w:type="dxa"/>
            <w:vAlign w:val="center"/>
          </w:tcPr>
          <w:p w14:paraId="5C576B82">
            <w:pPr>
              <w:pStyle w:val="12"/>
              <w:jc w:val="center"/>
              <w:rPr>
                <w:rFonts w:hint="eastAsia" w:ascii="黑体" w:hAnsi="黑体" w:eastAsia="黑体" w:cs="Times New Roman"/>
                <w:sz w:val="24"/>
                <w:lang w:val="en-US"/>
              </w:rPr>
            </w:pPr>
            <w:r>
              <w:rPr>
                <w:rFonts w:hint="eastAsia" w:ascii="黑体" w:hAnsi="黑体" w:eastAsia="黑体" w:cs="Times New Roman"/>
                <w:sz w:val="24"/>
                <w:lang w:val="en-US"/>
              </w:rPr>
              <w:t>所属专业类</w:t>
            </w:r>
          </w:p>
        </w:tc>
        <w:tc>
          <w:tcPr>
            <w:tcW w:w="2743" w:type="dxa"/>
            <w:vAlign w:val="center"/>
          </w:tcPr>
          <w:p w14:paraId="20C432F2">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地质类</w:t>
            </w:r>
          </w:p>
        </w:tc>
      </w:tr>
      <w:tr w14:paraId="2BE7A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289" w:type="dxa"/>
            <w:vAlign w:val="center"/>
          </w:tcPr>
          <w:p w14:paraId="21E0C6DD">
            <w:pPr>
              <w:pStyle w:val="12"/>
              <w:spacing w:before="16"/>
              <w:ind w:left="94" w:right="88"/>
              <w:jc w:val="center"/>
              <w:rPr>
                <w:rFonts w:hint="eastAsia" w:ascii="黑体" w:hAnsi="黑体" w:eastAsia="黑体"/>
                <w:sz w:val="24"/>
                <w:lang w:val="en-US"/>
              </w:rPr>
            </w:pPr>
            <w:r>
              <w:rPr>
                <w:rFonts w:hint="eastAsia" w:ascii="黑体" w:hAnsi="黑体" w:eastAsia="黑体"/>
                <w:sz w:val="24"/>
                <w:lang w:val="en-US"/>
              </w:rPr>
              <w:t>专业筹建负责人</w:t>
            </w:r>
          </w:p>
        </w:tc>
        <w:tc>
          <w:tcPr>
            <w:tcW w:w="2268" w:type="dxa"/>
            <w:vAlign w:val="center"/>
          </w:tcPr>
          <w:p w14:paraId="4739D4E4">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陈家富</w:t>
            </w:r>
          </w:p>
        </w:tc>
        <w:tc>
          <w:tcPr>
            <w:tcW w:w="2268" w:type="dxa"/>
            <w:vAlign w:val="center"/>
          </w:tcPr>
          <w:p w14:paraId="10A9090C">
            <w:pPr>
              <w:pStyle w:val="12"/>
              <w:jc w:val="center"/>
              <w:rPr>
                <w:rFonts w:hint="eastAsia" w:ascii="黑体" w:hAnsi="黑体" w:eastAsia="黑体" w:cs="Times New Roman"/>
                <w:sz w:val="24"/>
                <w:lang w:val="en-US"/>
              </w:rPr>
            </w:pPr>
            <w:r>
              <w:rPr>
                <w:rFonts w:hint="eastAsia" w:ascii="黑体" w:hAnsi="黑体" w:eastAsia="黑体" w:cs="Times New Roman"/>
                <w:sz w:val="24"/>
                <w:lang w:val="en-US"/>
              </w:rPr>
              <w:t>负责人联系方式</w:t>
            </w:r>
          </w:p>
        </w:tc>
        <w:tc>
          <w:tcPr>
            <w:tcW w:w="2743" w:type="dxa"/>
            <w:vAlign w:val="center"/>
          </w:tcPr>
          <w:p w14:paraId="3FCCB926">
            <w:pPr>
              <w:pStyle w:val="12"/>
              <w:jc w:val="center"/>
              <w:rPr>
                <w:rFonts w:ascii="Times New Roman" w:hAnsi="Times New Roman" w:eastAsia="仿宋_GB2312" w:cs="Times New Roman"/>
                <w:sz w:val="24"/>
              </w:rPr>
            </w:pPr>
            <w:r>
              <w:rPr>
                <w:rFonts w:hint="eastAsia" w:ascii="Times New Roman" w:hAnsi="Times New Roman" w:eastAsia="仿宋_GB2312" w:cs="Times New Roman"/>
                <w:sz w:val="24"/>
              </w:rPr>
              <w:t>13644070828</w:t>
            </w:r>
          </w:p>
        </w:tc>
      </w:tr>
      <w:tr w14:paraId="69837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6" w:hRule="atLeast"/>
          <w:jc w:val="center"/>
        </w:trPr>
        <w:tc>
          <w:tcPr>
            <w:tcW w:w="9568" w:type="dxa"/>
            <w:gridSpan w:val="4"/>
            <w:vAlign w:val="center"/>
          </w:tcPr>
          <w:p w14:paraId="71AE8FF3">
            <w:pPr>
              <w:pStyle w:val="12"/>
              <w:spacing w:before="14" w:line="282" w:lineRule="exact"/>
              <w:ind w:left="90" w:right="19"/>
              <w:rPr>
                <w:rFonts w:hint="eastAsia" w:ascii="黑体" w:hAnsi="黑体" w:eastAsia="黑体"/>
                <w:sz w:val="24"/>
                <w:lang w:val="en-US"/>
              </w:rPr>
            </w:pPr>
            <w:r>
              <w:rPr>
                <w:rFonts w:hint="eastAsia" w:ascii="黑体" w:hAnsi="黑体" w:eastAsia="黑体"/>
                <w:sz w:val="24"/>
                <w:lang w:val="en-US"/>
              </w:rPr>
              <w:t>增设专业的理由和基础</w:t>
            </w:r>
          </w:p>
          <w:p w14:paraId="50D56426">
            <w:pPr>
              <w:pStyle w:val="12"/>
              <w:rPr>
                <w:rFonts w:hint="eastAsia" w:ascii="仿宋_GB2312" w:eastAsia="仿宋_GB2312"/>
                <w:color w:val="FF0000"/>
                <w:sz w:val="24"/>
                <w:lang w:val="en-US"/>
              </w:rPr>
            </w:pPr>
            <w:r>
              <w:rPr>
                <w:rFonts w:hint="eastAsia" w:ascii="仿宋_GB2312" w:eastAsia="仿宋_GB2312"/>
                <w:color w:val="FF0000"/>
                <w:sz w:val="24"/>
                <w:lang w:val="en-US"/>
              </w:rPr>
              <w:t>（包括</w:t>
            </w:r>
            <w:r>
              <w:rPr>
                <w:rFonts w:ascii="仿宋_GB2312" w:eastAsia="仿宋_GB2312"/>
                <w:color w:val="FF0000"/>
                <w:sz w:val="24"/>
                <w:lang w:val="en-US"/>
              </w:rPr>
              <w:t>学院</w:t>
            </w:r>
            <w:r>
              <w:rPr>
                <w:rFonts w:hint="eastAsia" w:ascii="仿宋_GB2312" w:eastAsia="仿宋_GB2312"/>
                <w:color w:val="FF0000"/>
                <w:sz w:val="24"/>
                <w:lang w:val="en-US"/>
              </w:rPr>
              <w:t>专业发展规划，本专业建设定位</w:t>
            </w:r>
            <w:r>
              <w:rPr>
                <w:rFonts w:ascii="仿宋_GB2312" w:eastAsia="仿宋_GB2312"/>
                <w:color w:val="FF0000"/>
                <w:sz w:val="24"/>
                <w:lang w:val="en-US"/>
              </w:rPr>
              <w:t>及发展</w:t>
            </w:r>
            <w:r>
              <w:rPr>
                <w:rFonts w:hint="eastAsia" w:ascii="仿宋_GB2312" w:eastAsia="仿宋_GB2312"/>
                <w:color w:val="FF0000"/>
                <w:sz w:val="24"/>
                <w:lang w:val="en-US"/>
              </w:rPr>
              <w:t>目标，专业人才需求预测，专业办学条件如</w:t>
            </w:r>
            <w:r>
              <w:rPr>
                <w:rFonts w:ascii="仿宋_GB2312" w:eastAsia="仿宋_GB2312"/>
                <w:color w:val="FF0000"/>
                <w:sz w:val="24"/>
                <w:lang w:val="en-US"/>
              </w:rPr>
              <w:t>师资条件教学</w:t>
            </w:r>
            <w:r>
              <w:rPr>
                <w:rFonts w:hint="eastAsia" w:ascii="仿宋_GB2312" w:eastAsia="仿宋_GB2312"/>
                <w:color w:val="FF0000"/>
                <w:sz w:val="24"/>
                <w:lang w:val="en-US"/>
              </w:rPr>
              <w:t>条件等，</w:t>
            </w:r>
            <w:r>
              <w:rPr>
                <w:rFonts w:ascii="仿宋_GB2312" w:eastAsia="仿宋_GB2312"/>
                <w:color w:val="FF0000"/>
                <w:sz w:val="24"/>
                <w:lang w:val="en-US"/>
              </w:rPr>
              <w:t>筹建基础及</w:t>
            </w:r>
            <w:r>
              <w:rPr>
                <w:rFonts w:hint="eastAsia" w:ascii="仿宋_GB2312" w:eastAsia="仿宋_GB2312"/>
                <w:color w:val="FF0000"/>
                <w:sz w:val="24"/>
                <w:lang w:val="en-US"/>
              </w:rPr>
              <w:t>其他</w:t>
            </w:r>
            <w:r>
              <w:rPr>
                <w:rFonts w:ascii="仿宋_GB2312" w:eastAsia="仿宋_GB2312"/>
                <w:color w:val="FF0000"/>
                <w:sz w:val="24"/>
                <w:lang w:val="en-US"/>
              </w:rPr>
              <w:t>相关</w:t>
            </w:r>
            <w:r>
              <w:rPr>
                <w:rFonts w:hint="eastAsia" w:ascii="仿宋_GB2312" w:eastAsia="仿宋_GB2312"/>
                <w:color w:val="FF0000"/>
                <w:sz w:val="24"/>
                <w:lang w:val="en-US"/>
              </w:rPr>
              <w:t>方面情况，限</w:t>
            </w:r>
            <w:r>
              <w:rPr>
                <w:rFonts w:ascii="仿宋_GB2312" w:eastAsia="仿宋_GB2312"/>
                <w:color w:val="FF0000"/>
                <w:sz w:val="24"/>
                <w:lang w:val="en-US"/>
              </w:rPr>
              <w:t>1000字）</w:t>
            </w:r>
          </w:p>
          <w:p w14:paraId="213C74BE">
            <w:pPr>
              <w:pStyle w:val="12"/>
              <w:rPr>
                <w:rFonts w:hint="eastAsia" w:ascii="仿宋_GB2312" w:eastAsia="仿宋_GB2312"/>
                <w:color w:val="FF0000"/>
                <w:sz w:val="24"/>
                <w:lang w:val="en-US"/>
              </w:rPr>
            </w:pPr>
          </w:p>
          <w:p w14:paraId="2F13C5A9">
            <w:pPr>
              <w:pStyle w:val="12"/>
              <w:ind w:firstLine="482" w:firstLineChars="200"/>
              <w:jc w:val="both"/>
              <w:rPr>
                <w:rFonts w:hint="eastAsia" w:ascii="仿宋_GB2312" w:eastAsia="仿宋_GB2312"/>
                <w:color w:val="000000" w:themeColor="text1"/>
                <w:sz w:val="24"/>
                <w:lang w:val="en-US"/>
                <w14:textFill>
                  <w14:solidFill>
                    <w14:schemeClr w14:val="tx1"/>
                  </w14:solidFill>
                </w14:textFill>
              </w:rPr>
            </w:pPr>
            <w:r>
              <w:rPr>
                <w:rFonts w:ascii="仿宋_GB2312" w:eastAsia="仿宋_GB2312"/>
                <w:b/>
                <w:bCs/>
                <w:color w:val="000000" w:themeColor="text1"/>
                <w:sz w:val="24"/>
                <w:lang w:val="en-US"/>
                <w14:textFill>
                  <w14:solidFill>
                    <w14:schemeClr w14:val="tx1"/>
                  </w14:solidFill>
                </w14:textFill>
              </w:rPr>
              <w:t>学院</w:t>
            </w:r>
            <w:r>
              <w:rPr>
                <w:rFonts w:hint="eastAsia" w:ascii="仿宋_GB2312" w:eastAsia="仿宋_GB2312"/>
                <w:b/>
                <w:bCs/>
                <w:color w:val="000000" w:themeColor="text1"/>
                <w:sz w:val="24"/>
                <w:lang w:val="en-US"/>
                <w14:textFill>
                  <w14:solidFill>
                    <w14:schemeClr w14:val="tx1"/>
                  </w14:solidFill>
                </w14:textFill>
              </w:rPr>
              <w:t>专业发展规划</w:t>
            </w:r>
            <w:r>
              <w:rPr>
                <w:rFonts w:hint="eastAsia" w:ascii="仿宋_GB2312" w:eastAsia="仿宋_GB2312"/>
                <w:color w:val="000000" w:themeColor="text1"/>
                <w:sz w:val="24"/>
                <w:lang w:val="en-US"/>
                <w14:textFill>
                  <w14:solidFill>
                    <w14:schemeClr w14:val="tx1"/>
                  </w14:solidFill>
                </w14:textFill>
              </w:rPr>
              <w:t>：学院按照“分层次、定方向、有重点”的专业建设原则，综合本科专业教学质量国家标准、专业认证、审核评估、本科专业综合评价等指标，确定专业建设定位，推进专业分级建设。以服务国家创新驱动发展战略、东北老工业基地振兴战略、未来新兴产业发展需要为出发点，主动布局资源环境大数据工程等战略性新兴产业发展相关学科专业，为支撑国家创新驱动发展战略提供人力资源。</w:t>
            </w:r>
          </w:p>
          <w:p w14:paraId="5621F538">
            <w:pPr>
              <w:pStyle w:val="12"/>
              <w:ind w:firstLine="482"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b/>
                <w:bCs/>
                <w:color w:val="000000" w:themeColor="text1"/>
                <w:sz w:val="24"/>
                <w:lang w:val="en-US"/>
                <w14:textFill>
                  <w14:solidFill>
                    <w14:schemeClr w14:val="tx1"/>
                  </w14:solidFill>
                </w14:textFill>
              </w:rPr>
              <w:t>本专业的建设定位</w:t>
            </w:r>
            <w:r>
              <w:rPr>
                <w:rFonts w:ascii="仿宋_GB2312" w:eastAsia="仿宋_GB2312"/>
                <w:b/>
                <w:bCs/>
                <w:color w:val="000000" w:themeColor="text1"/>
                <w:sz w:val="24"/>
                <w:lang w:val="en-US"/>
                <w14:textFill>
                  <w14:solidFill>
                    <w14:schemeClr w14:val="tx1"/>
                  </w14:solidFill>
                </w14:textFill>
              </w:rPr>
              <w:t>及发展</w:t>
            </w:r>
            <w:r>
              <w:rPr>
                <w:rFonts w:hint="eastAsia" w:ascii="仿宋_GB2312" w:eastAsia="仿宋_GB2312"/>
                <w:b/>
                <w:bCs/>
                <w:color w:val="000000" w:themeColor="text1"/>
                <w:sz w:val="24"/>
                <w:lang w:val="en-US"/>
                <w14:textFill>
                  <w14:solidFill>
                    <w14:schemeClr w14:val="tx1"/>
                  </w14:solidFill>
                </w14:textFill>
              </w:rPr>
              <w:t>目标</w:t>
            </w:r>
            <w:r>
              <w:rPr>
                <w:rFonts w:hint="eastAsia" w:ascii="仿宋_GB2312" w:eastAsia="仿宋_GB2312"/>
                <w:color w:val="000000" w:themeColor="text1"/>
                <w:sz w:val="24"/>
                <w:lang w:val="en-US"/>
                <w14:textFill>
                  <w14:solidFill>
                    <w14:schemeClr w14:val="tx1"/>
                  </w14:solidFill>
                </w14:textFill>
              </w:rPr>
              <w:t>：面向国家经济社会发展需求，契合学校建设“在中国新型工业化进程中起引领作用的‘国内一流、国际知名’高水平研究型大学”的办学定位，支撑矿业工程一流学科建设、打造东北大学矿业特色地学专业。培养具有地学、信息、矿业、环境等学科交叉领域的思维与能力，从事资源与环境领域生产、设计、评价、开发、研究及管理等方面的复合型人才。</w:t>
            </w:r>
          </w:p>
          <w:p w14:paraId="45426CAA">
            <w:pPr>
              <w:pStyle w:val="12"/>
              <w:ind w:firstLine="482" w:firstLineChars="200"/>
              <w:jc w:val="both"/>
              <w:rPr>
                <w:rFonts w:hint="eastAsia" w:ascii="仿宋_GB2312" w:eastAsia="仿宋_GB2312"/>
                <w:color w:val="000000" w:themeColor="text1"/>
                <w:sz w:val="24"/>
                <w:highlight w:val="yellow"/>
                <w:lang w:val="en-US"/>
                <w14:textFill>
                  <w14:solidFill>
                    <w14:schemeClr w14:val="tx1"/>
                  </w14:solidFill>
                </w14:textFill>
              </w:rPr>
            </w:pPr>
            <w:r>
              <w:rPr>
                <w:rFonts w:hint="eastAsia" w:ascii="仿宋_GB2312" w:eastAsia="仿宋_GB2312"/>
                <w:b/>
                <w:bCs/>
                <w:color w:val="000000" w:themeColor="text1"/>
                <w:sz w:val="24"/>
                <w:lang w:val="en-US"/>
                <w14:textFill>
                  <w14:solidFill>
                    <w14:schemeClr w14:val="tx1"/>
                  </w14:solidFill>
                </w14:textFill>
              </w:rPr>
              <w:t>专业人才需求预测</w:t>
            </w:r>
            <w:r>
              <w:rPr>
                <w:rFonts w:hint="eastAsia" w:ascii="仿宋_GB2312" w:eastAsia="仿宋_GB2312"/>
                <w:color w:val="000000" w:themeColor="text1"/>
                <w:sz w:val="24"/>
                <w:lang w:val="en-US"/>
                <w14:textFill>
                  <w14:solidFill>
                    <w14:schemeClr w14:val="tx1"/>
                  </w14:solidFill>
                </w14:textFill>
              </w:rPr>
              <w:t>：</w:t>
            </w:r>
            <w:r>
              <w:rPr>
                <w:rFonts w:hint="eastAsia" w:ascii="Times New Roman" w:hAnsi="Times New Roman" w:eastAsia="仿宋_GB2312" w:cs="Times New Roman"/>
                <w:sz w:val="24"/>
              </w:rPr>
              <w:t>资源环境大数据工程</w:t>
            </w:r>
            <w:r>
              <w:rPr>
                <w:rFonts w:hint="eastAsia" w:ascii="仿宋_GB2312" w:eastAsia="仿宋_GB2312"/>
                <w:color w:val="000000" w:themeColor="text1"/>
                <w:sz w:val="24"/>
                <w:lang w:val="en-US"/>
                <w14:textFill>
                  <w14:solidFill>
                    <w14:schemeClr w14:val="tx1"/>
                  </w14:solidFill>
                </w14:textFill>
              </w:rPr>
              <w:t>专业面向资源及环境领域国家重大需求和新工科建设要求，培养资源环境科学与人工智能、大数据等前沿技术交叉的复合型人才。因此，在当前错综复杂的国际形势下和国内外对资源需求飞速增长的背景下，资源环境大数据工程专业在国家“十四五”规划和2035远景目标纲要中扮演着重要角色。根据调查研究显示，近五年，资源环境大数据工程人才新增岗位需求年增长率超过30%；工信部与“十四五”大数据产业规划预测2025年人才缺口达34.5~46万人。</w:t>
            </w:r>
          </w:p>
          <w:p w14:paraId="550EF8B0">
            <w:pPr>
              <w:pStyle w:val="12"/>
              <w:ind w:firstLine="482"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b/>
                <w:bCs/>
                <w:color w:val="000000" w:themeColor="text1"/>
                <w:sz w:val="24"/>
                <w:lang w:val="en-US"/>
                <w14:textFill>
                  <w14:solidFill>
                    <w14:schemeClr w14:val="tx1"/>
                  </w14:solidFill>
                </w14:textFill>
              </w:rPr>
              <w:t>专业办学条件</w:t>
            </w:r>
            <w:r>
              <w:rPr>
                <w:rFonts w:hint="eastAsia" w:ascii="仿宋_GB2312" w:eastAsia="仿宋_GB2312"/>
                <w:color w:val="000000" w:themeColor="text1"/>
                <w:sz w:val="24"/>
                <w:lang w:val="en-US"/>
                <w14:textFill>
                  <w14:solidFill>
                    <w14:schemeClr w14:val="tx1"/>
                  </w14:solidFill>
                </w14:textFill>
              </w:rPr>
              <w:t>：地质系现有</w:t>
            </w:r>
            <w:r>
              <w:rPr>
                <w:rFonts w:ascii="仿宋_GB2312" w:eastAsia="仿宋_GB2312"/>
                <w:color w:val="000000" w:themeColor="text1"/>
                <w:sz w:val="24"/>
                <w:lang w:val="en-US"/>
                <w14:textFill>
                  <w14:solidFill>
                    <w14:schemeClr w14:val="tx1"/>
                  </w14:solidFill>
                </w14:textFill>
              </w:rPr>
              <w:t>专任教师1</w:t>
            </w:r>
            <w:r>
              <w:rPr>
                <w:rFonts w:hint="eastAsia" w:ascii="仿宋_GB2312" w:eastAsia="仿宋_GB2312"/>
                <w:color w:val="000000" w:themeColor="text1"/>
                <w:sz w:val="24"/>
                <w:lang w:val="en-US"/>
                <w14:textFill>
                  <w14:solidFill>
                    <w14:schemeClr w14:val="tx1"/>
                  </w14:solidFill>
                </w14:textFill>
              </w:rPr>
              <w:t>9</w:t>
            </w:r>
            <w:r>
              <w:rPr>
                <w:rFonts w:ascii="仿宋_GB2312" w:eastAsia="仿宋_GB2312"/>
                <w:color w:val="000000" w:themeColor="text1"/>
                <w:sz w:val="24"/>
                <w:lang w:val="en-US"/>
                <w14:textFill>
                  <w14:solidFill>
                    <w14:schemeClr w14:val="tx1"/>
                  </w14:solidFill>
                </w14:textFill>
              </w:rPr>
              <w:t>人承担</w:t>
            </w:r>
            <w:r>
              <w:rPr>
                <w:rFonts w:hint="eastAsia" w:ascii="仿宋_GB2312" w:eastAsia="仿宋_GB2312"/>
                <w:color w:val="000000" w:themeColor="text1"/>
                <w:sz w:val="24"/>
                <w:lang w:val="en-US"/>
                <w14:textFill>
                  <w14:solidFill>
                    <w14:schemeClr w14:val="tx1"/>
                  </w14:solidFill>
                </w14:textFill>
              </w:rPr>
              <w:t>教学</w:t>
            </w:r>
            <w:r>
              <w:rPr>
                <w:rFonts w:ascii="仿宋_GB2312" w:eastAsia="仿宋_GB2312"/>
                <w:color w:val="000000" w:themeColor="text1"/>
                <w:sz w:val="24"/>
                <w:lang w:val="en-US"/>
                <w14:textFill>
                  <w14:solidFill>
                    <w14:schemeClr w14:val="tx1"/>
                  </w14:solidFill>
                </w14:textFill>
              </w:rPr>
              <w:t>任务，</w:t>
            </w:r>
            <w:r>
              <w:rPr>
                <w:rFonts w:hint="eastAsia" w:ascii="仿宋_GB2312" w:eastAsia="仿宋_GB2312"/>
                <w:color w:val="000000" w:themeColor="text1"/>
                <w:sz w:val="24"/>
                <w:lang w:val="en-US"/>
                <w14:textFill>
                  <w14:solidFill>
                    <w14:schemeClr w14:val="tx1"/>
                  </w14:solidFill>
                </w14:textFill>
              </w:rPr>
              <w:t>数</w:t>
            </w:r>
            <w:r>
              <w:rPr>
                <w:rFonts w:ascii="仿宋_GB2312" w:eastAsia="仿宋_GB2312"/>
                <w:color w:val="000000" w:themeColor="text1"/>
                <w:sz w:val="24"/>
                <w:lang w:val="en-US"/>
                <w14:textFill>
                  <w14:solidFill>
                    <w14:schemeClr w14:val="tx1"/>
                  </w14:solidFill>
                </w14:textFill>
              </w:rPr>
              <w:t>量充足，年龄、学历、职称和</w:t>
            </w:r>
            <w:r>
              <w:rPr>
                <w:rFonts w:hint="eastAsia" w:ascii="仿宋_GB2312" w:eastAsia="仿宋_GB2312"/>
                <w:color w:val="000000" w:themeColor="text1"/>
                <w:sz w:val="24"/>
                <w:lang w:val="en-US"/>
                <w14:textFill>
                  <w14:solidFill>
                    <w14:schemeClr w14:val="tx1"/>
                  </w14:solidFill>
                </w14:textFill>
              </w:rPr>
              <w:t>学缘结构</w:t>
            </w:r>
            <w:r>
              <w:rPr>
                <w:rFonts w:ascii="仿宋_GB2312" w:eastAsia="仿宋_GB2312"/>
                <w:color w:val="000000" w:themeColor="text1"/>
                <w:sz w:val="24"/>
                <w:lang w:val="en-US"/>
                <w14:textFill>
                  <w14:solidFill>
                    <w14:schemeClr w14:val="tx1"/>
                  </w14:solidFill>
                </w14:textFill>
              </w:rPr>
              <w:t>分布合理；绝大多数教师具有主持</w:t>
            </w:r>
            <w:r>
              <w:rPr>
                <w:rFonts w:hint="eastAsia" w:ascii="仿宋_GB2312" w:eastAsia="仿宋_GB2312"/>
                <w:color w:val="000000" w:themeColor="text1"/>
                <w:sz w:val="24"/>
                <w:lang w:val="en-US"/>
                <w14:textFill>
                  <w14:solidFill>
                    <w14:schemeClr w14:val="tx1"/>
                  </w14:solidFill>
                </w14:textFill>
              </w:rPr>
              <w:t>国家级、省部级项目的经历与</w:t>
            </w:r>
            <w:r>
              <w:rPr>
                <w:rFonts w:ascii="仿宋_GB2312" w:eastAsia="仿宋_GB2312"/>
                <w:color w:val="000000" w:themeColor="text1"/>
                <w:sz w:val="24"/>
                <w:lang w:val="en-US"/>
                <w14:textFill>
                  <w14:solidFill>
                    <w14:schemeClr w14:val="tx1"/>
                  </w14:solidFill>
                </w14:textFill>
              </w:rPr>
              <w:t>丰富的工程实践经验</w:t>
            </w:r>
            <w:r>
              <w:rPr>
                <w:rFonts w:hint="eastAsia" w:ascii="仿宋_GB2312" w:eastAsia="仿宋_GB2312"/>
                <w:color w:val="000000" w:themeColor="text1"/>
                <w:sz w:val="24"/>
                <w:lang w:val="en-US"/>
                <w14:textFill>
                  <w14:solidFill>
                    <w14:schemeClr w14:val="tx1"/>
                  </w14:solidFill>
                </w14:textFill>
              </w:rPr>
              <w:t>；地质系建有地学信息科学与技术实验室、显微结构智能分析实验室等平台，</w:t>
            </w:r>
            <w:r>
              <w:rPr>
                <w:rFonts w:ascii="仿宋_GB2312" w:eastAsia="仿宋_GB2312"/>
                <w:color w:val="000000" w:themeColor="text1"/>
                <w:sz w:val="24"/>
                <w:lang w:val="en-US"/>
                <w14:textFill>
                  <w14:solidFill>
                    <w14:schemeClr w14:val="tx1"/>
                  </w14:solidFill>
                </w14:textFill>
              </w:rPr>
              <w:t>能够很好地满足</w:t>
            </w:r>
            <w:r>
              <w:rPr>
                <w:rFonts w:hint="eastAsia" w:ascii="仿宋_GB2312" w:eastAsia="仿宋_GB2312"/>
                <w:color w:val="000000" w:themeColor="text1"/>
                <w:sz w:val="24"/>
                <w:lang w:val="en-US"/>
                <w14:textFill>
                  <w14:solidFill>
                    <w14:schemeClr w14:val="tx1"/>
                  </w14:solidFill>
                </w14:textFill>
              </w:rPr>
              <w:t>更名后</w:t>
            </w:r>
            <w:r>
              <w:rPr>
                <w:rFonts w:ascii="仿宋_GB2312" w:eastAsia="仿宋_GB2312"/>
                <w:color w:val="000000" w:themeColor="text1"/>
                <w:sz w:val="24"/>
                <w:lang w:val="en-US"/>
                <w14:textFill>
                  <w14:solidFill>
                    <w14:schemeClr w14:val="tx1"/>
                  </w14:solidFill>
                </w14:textFill>
              </w:rPr>
              <w:t>专业的</w:t>
            </w:r>
            <w:r>
              <w:rPr>
                <w:rFonts w:hint="eastAsia" w:ascii="仿宋_GB2312" w:eastAsia="仿宋_GB2312"/>
                <w:color w:val="000000" w:themeColor="text1"/>
                <w:sz w:val="24"/>
                <w:lang w:val="en-US"/>
                <w14:textFill>
                  <w14:solidFill>
                    <w14:schemeClr w14:val="tx1"/>
                  </w14:solidFill>
                </w14:textFill>
              </w:rPr>
              <w:t>教科研需求</w:t>
            </w:r>
            <w:r>
              <w:rPr>
                <w:rFonts w:ascii="仿宋_GB2312" w:eastAsia="仿宋_GB2312"/>
                <w:color w:val="000000" w:themeColor="text1"/>
                <w:sz w:val="24"/>
                <w:lang w:val="en-US"/>
                <w14:textFill>
                  <w14:solidFill>
                    <w14:schemeClr w14:val="tx1"/>
                  </w14:solidFill>
                </w14:textFill>
              </w:rPr>
              <w:t>。</w:t>
            </w:r>
          </w:p>
          <w:p w14:paraId="098F9C6F">
            <w:pPr>
              <w:pStyle w:val="12"/>
              <w:ind w:firstLine="482"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b/>
                <w:bCs/>
                <w:color w:val="000000" w:themeColor="text1"/>
                <w:sz w:val="24"/>
                <w:lang w:val="en-US"/>
                <w14:textFill>
                  <w14:solidFill>
                    <w14:schemeClr w14:val="tx1"/>
                  </w14:solidFill>
                </w14:textFill>
              </w:rPr>
              <w:t>筹建基础</w:t>
            </w:r>
            <w:r>
              <w:rPr>
                <w:rFonts w:hint="eastAsia" w:ascii="仿宋_GB2312" w:eastAsia="仿宋_GB2312"/>
                <w:color w:val="000000" w:themeColor="text1"/>
                <w:sz w:val="24"/>
                <w:lang w:val="en-US"/>
                <w14:textFill>
                  <w14:solidFill>
                    <w14:schemeClr w14:val="tx1"/>
                  </w14:solidFill>
                </w14:textFill>
              </w:rPr>
              <w:t>：现设的资源勘查工程专业与资源环境大数据工程同属地质类专业，通过多年来的建设取得了一系列成果，为专业更名奠定了基础。东大地质学科起源于找矿勘查，发展于现代物化遥探测方法与信息技术，跃升于人工智能大数据地学专业建设，</w:t>
            </w:r>
            <w:r>
              <w:rPr>
                <w:rFonts w:ascii="仿宋_GB2312" w:eastAsia="仿宋_GB2312"/>
                <w:color w:val="000000" w:themeColor="text1"/>
                <w:sz w:val="24"/>
                <w:lang w:val="en-US"/>
                <w14:textFill>
                  <w14:solidFill>
                    <w14:schemeClr w14:val="tx1"/>
                  </w14:solidFill>
                </w14:textFill>
              </w:rPr>
              <w:t>逐步形成了</w:t>
            </w:r>
            <w:r>
              <w:rPr>
                <w:rFonts w:hint="eastAsia" w:ascii="仿宋_GB2312" w:eastAsia="仿宋_GB2312"/>
                <w:color w:val="000000" w:themeColor="text1"/>
                <w:sz w:val="24"/>
                <w:lang w:val="en-US"/>
                <w14:textFill>
                  <w14:solidFill>
                    <w14:schemeClr w14:val="tx1"/>
                  </w14:solidFill>
                </w14:textFill>
              </w:rPr>
              <w:t>深部资源成矿过程与成矿预测</w:t>
            </w:r>
            <w:r>
              <w:rPr>
                <w:rFonts w:ascii="仿宋_GB2312" w:eastAsia="仿宋_GB2312"/>
                <w:color w:val="000000" w:themeColor="text1"/>
                <w:sz w:val="24"/>
                <w:lang w:val="en-US"/>
                <w14:textFill>
                  <w14:solidFill>
                    <w14:schemeClr w14:val="tx1"/>
                  </w14:solidFill>
                </w14:textFill>
              </w:rPr>
              <w:t>、</w:t>
            </w:r>
            <w:r>
              <w:rPr>
                <w:rFonts w:hint="eastAsia" w:ascii="仿宋_GB2312" w:eastAsia="仿宋_GB2312"/>
                <w:color w:val="000000" w:themeColor="text1"/>
                <w:sz w:val="24"/>
                <w:lang w:val="en-US"/>
                <w14:textFill>
                  <w14:solidFill>
                    <w14:schemeClr w14:val="tx1"/>
                  </w14:solidFill>
                </w14:textFill>
              </w:rPr>
              <w:t>矿体智能识别与精准探测</w:t>
            </w:r>
            <w:r>
              <w:rPr>
                <w:rFonts w:ascii="仿宋_GB2312" w:eastAsia="仿宋_GB2312"/>
                <w:color w:val="000000" w:themeColor="text1"/>
                <w:sz w:val="24"/>
                <w:lang w:val="en-US"/>
                <w14:textFill>
                  <w14:solidFill>
                    <w14:schemeClr w14:val="tx1"/>
                  </w14:solidFill>
                </w14:textFill>
              </w:rPr>
              <w:t>等特色方向。</w:t>
            </w:r>
          </w:p>
          <w:p w14:paraId="25A09F2E">
            <w:pPr>
              <w:pStyle w:val="12"/>
              <w:ind w:firstLine="482"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b/>
                <w:bCs/>
                <w:color w:val="000000" w:themeColor="text1"/>
                <w:sz w:val="24"/>
                <w:lang w:val="en-US"/>
                <w14:textFill>
                  <w14:solidFill>
                    <w14:schemeClr w14:val="tx1"/>
                  </w14:solidFill>
                </w14:textFill>
              </w:rPr>
              <w:t>其他相关方面</w:t>
            </w:r>
            <w:r>
              <w:rPr>
                <w:rFonts w:hint="eastAsia" w:ascii="仿宋_GB2312" w:eastAsia="仿宋_GB2312"/>
                <w:color w:val="000000" w:themeColor="text1"/>
                <w:sz w:val="24"/>
                <w:lang w:val="en-US"/>
                <w14:textFill>
                  <w14:solidFill>
                    <w14:schemeClr w14:val="tx1"/>
                  </w14:solidFill>
                </w14:textFill>
              </w:rPr>
              <w:t>：我校地质学科发展历史悠久，最早可追溯至建校时期。目前，已建有地质资源与地质工程一级学科博士点、硕士点及博士后流动站；其中，二级学科矿产普查勘探学科为辽宁省重点学科；资源勘查工程专业获批教育部卓越工程师教育培养计划，通过中国工程教育认证，为国家级一流本科建设专业、辽宁省一流本科专业。</w:t>
            </w:r>
          </w:p>
          <w:p w14:paraId="243FF4F0">
            <w:pPr>
              <w:pStyle w:val="12"/>
              <w:rPr>
                <w:rFonts w:hint="eastAsia" w:ascii="仿宋_GB2312" w:eastAsia="仿宋_GB2312"/>
                <w:sz w:val="24"/>
                <w:lang w:val="en-US"/>
              </w:rPr>
            </w:pPr>
            <w:r>
              <w:rPr>
                <w:rFonts w:hint="eastAsia" w:ascii="仿宋_GB2312" w:eastAsia="仿宋_GB2312"/>
                <w:sz w:val="24"/>
                <w:lang w:val="en-US"/>
              </w:rPr>
              <w:drawing>
                <wp:anchor distT="0" distB="0" distL="0" distR="0" simplePos="0" relativeHeight="251659264" behindDoc="0" locked="0" layoutInCell="1" allowOverlap="1">
                  <wp:simplePos x="0" y="0"/>
                  <wp:positionH relativeFrom="column">
                    <wp:posOffset>5078730</wp:posOffset>
                  </wp:positionH>
                  <wp:positionV relativeFrom="paragraph">
                    <wp:posOffset>90170</wp:posOffset>
                  </wp:positionV>
                  <wp:extent cx="765810" cy="361950"/>
                  <wp:effectExtent l="0" t="0" r="0" b="0"/>
                  <wp:wrapNone/>
                  <wp:docPr id="8578806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88062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89640" cy="373009"/>
                          </a:xfrm>
                          <a:prstGeom prst="rect">
                            <a:avLst/>
                          </a:prstGeom>
                        </pic:spPr>
                      </pic:pic>
                    </a:graphicData>
                  </a:graphic>
                </wp:anchor>
              </w:drawing>
            </w:r>
          </w:p>
          <w:p w14:paraId="44A451A9">
            <w:pPr>
              <w:pStyle w:val="12"/>
              <w:spacing w:before="14" w:line="282" w:lineRule="exact"/>
              <w:ind w:left="90" w:right="19" w:firstLine="5520" w:firstLineChars="2300"/>
              <w:rPr>
                <w:rFonts w:hint="eastAsia" w:ascii="仿宋_GB2312" w:eastAsia="仿宋_GB2312"/>
                <w:sz w:val="24"/>
                <w:lang w:val="en-US"/>
              </w:rPr>
            </w:pPr>
            <w:r>
              <w:rPr>
                <w:rFonts w:hint="eastAsia" w:ascii="仿宋_GB2312" w:eastAsia="仿宋_GB2312"/>
                <w:sz w:val="24"/>
                <w:lang w:val="en-US"/>
              </w:rPr>
              <w:t>专业筹建</w:t>
            </w:r>
            <w:r>
              <w:rPr>
                <w:rFonts w:ascii="仿宋_GB2312" w:eastAsia="仿宋_GB2312"/>
                <w:sz w:val="24"/>
                <w:lang w:val="en-US"/>
              </w:rPr>
              <w:t>负责人签字：</w:t>
            </w:r>
          </w:p>
          <w:p w14:paraId="6EDD9C41">
            <w:pPr>
              <w:pStyle w:val="12"/>
              <w:rPr>
                <w:rFonts w:hint="eastAsia" w:ascii="仿宋_GB2312" w:eastAsia="仿宋_GB2312"/>
                <w:sz w:val="24"/>
                <w:lang w:val="en-US"/>
              </w:rPr>
            </w:pPr>
            <w:r>
              <w:rPr>
                <w:rFonts w:hint="eastAsia" w:ascii="仿宋_GB2312" w:eastAsia="仿宋_GB2312"/>
                <w:sz w:val="24"/>
                <w:lang w:val="en-US"/>
              </w:rPr>
              <w:t xml:space="preserve">                                                  </w:t>
            </w:r>
            <w:r>
              <w:rPr>
                <w:rFonts w:ascii="仿宋_GB2312" w:eastAsia="仿宋_GB2312"/>
                <w:sz w:val="24"/>
                <w:lang w:val="en-US"/>
              </w:rPr>
              <w:t xml:space="preserve">       </w:t>
            </w:r>
            <w:r>
              <w:rPr>
                <w:rFonts w:hint="eastAsia" w:ascii="仿宋_GB2312" w:eastAsia="仿宋_GB2312"/>
                <w:sz w:val="24"/>
                <w:lang w:val="en-US"/>
              </w:rPr>
              <w:t xml:space="preserve"> </w:t>
            </w:r>
          </w:p>
          <w:p w14:paraId="5D5E9D29">
            <w:pPr>
              <w:pStyle w:val="12"/>
              <w:ind w:firstLine="7080" w:firstLineChars="2950"/>
              <w:rPr>
                <w:rFonts w:hint="eastAsia" w:ascii="仿宋_GB2312" w:eastAsia="仿宋_GB2312"/>
                <w:sz w:val="24"/>
                <w:lang w:val="en-US"/>
              </w:rPr>
            </w:pPr>
            <w:bookmarkStart w:id="0" w:name="_GoBack"/>
            <w:bookmarkEnd w:id="0"/>
            <w:r>
              <w:rPr>
                <w:rFonts w:hint="eastAsia" w:ascii="仿宋_GB2312" w:eastAsia="仿宋_GB2312"/>
                <w:sz w:val="24"/>
                <w:lang w:val="en-US"/>
              </w:rPr>
              <w:t>2025年  7月  7日</w:t>
            </w:r>
          </w:p>
          <w:p w14:paraId="5CE21D1B">
            <w:pPr>
              <w:pStyle w:val="12"/>
              <w:ind w:firstLine="7080" w:firstLineChars="2950"/>
              <w:rPr>
                <w:rFonts w:ascii="Times New Roman" w:hAnsi="Times New Roman" w:eastAsia="仿宋_GB2312" w:cs="Times New Roman"/>
                <w:sz w:val="24"/>
              </w:rPr>
            </w:pPr>
          </w:p>
        </w:tc>
      </w:tr>
      <w:tr w14:paraId="35556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7" w:hRule="atLeast"/>
          <w:jc w:val="center"/>
        </w:trPr>
        <w:tc>
          <w:tcPr>
            <w:tcW w:w="9568" w:type="dxa"/>
            <w:gridSpan w:val="4"/>
            <w:vAlign w:val="center"/>
          </w:tcPr>
          <w:p w14:paraId="730A7E88">
            <w:pPr>
              <w:pStyle w:val="12"/>
              <w:rPr>
                <w:rFonts w:hint="eastAsia" w:ascii="黑体" w:hAnsi="黑体" w:eastAsia="黑体"/>
                <w:sz w:val="24"/>
                <w:lang w:val="en-US"/>
              </w:rPr>
            </w:pPr>
            <w:r>
              <w:rPr>
                <w:rFonts w:hint="eastAsia" w:ascii="黑体" w:hAnsi="黑体" w:eastAsia="黑体"/>
                <w:sz w:val="24"/>
                <w:lang w:val="en-US"/>
              </w:rPr>
              <w:t>拟新建专业与现有专业的关系</w:t>
            </w:r>
          </w:p>
          <w:p w14:paraId="74A52D3A">
            <w:pPr>
              <w:pStyle w:val="12"/>
              <w:rPr>
                <w:rFonts w:hint="eastAsia" w:ascii="仿宋_GB2312" w:eastAsia="仿宋_GB2312"/>
                <w:color w:val="FF0000"/>
                <w:sz w:val="24"/>
                <w:lang w:val="en-US"/>
              </w:rPr>
            </w:pPr>
            <w:r>
              <w:rPr>
                <w:rFonts w:hint="eastAsia" w:ascii="仿宋_GB2312" w:eastAsia="仿宋_GB2312"/>
                <w:color w:val="FF0000"/>
                <w:sz w:val="24"/>
                <w:lang w:val="en-US"/>
              </w:rPr>
              <w:t>（包括学院现设专业如何调整，</w:t>
            </w:r>
            <w:r>
              <w:rPr>
                <w:rFonts w:ascii="仿宋_GB2312" w:eastAsia="仿宋_GB2312"/>
                <w:color w:val="FF0000"/>
                <w:sz w:val="24"/>
                <w:lang w:val="en-US"/>
              </w:rPr>
              <w:t>如何</w:t>
            </w:r>
            <w:r>
              <w:rPr>
                <w:rFonts w:hint="eastAsia" w:ascii="仿宋_GB2312" w:eastAsia="仿宋_GB2312"/>
                <w:color w:val="FF0000"/>
                <w:sz w:val="24"/>
                <w:lang w:val="en-US"/>
              </w:rPr>
              <w:t>建设、转型升级、合并、撤销；</w:t>
            </w:r>
            <w:r>
              <w:rPr>
                <w:rFonts w:ascii="仿宋_GB2312" w:eastAsia="仿宋_GB2312"/>
                <w:color w:val="FF0000"/>
                <w:sz w:val="24"/>
                <w:lang w:val="en-US"/>
              </w:rPr>
              <w:t>对</w:t>
            </w:r>
            <w:r>
              <w:rPr>
                <w:rFonts w:hint="eastAsia" w:ascii="仿宋_GB2312" w:eastAsia="仿宋_GB2312"/>
                <w:color w:val="FF0000"/>
                <w:sz w:val="24"/>
                <w:lang w:val="en-US"/>
              </w:rPr>
              <w:t>现设</w:t>
            </w:r>
            <w:r>
              <w:rPr>
                <w:rFonts w:ascii="仿宋_GB2312" w:eastAsia="仿宋_GB2312"/>
                <w:color w:val="FF0000"/>
                <w:sz w:val="24"/>
                <w:lang w:val="en-US"/>
              </w:rPr>
              <w:t>专业师资有何影响</w:t>
            </w:r>
            <w:r>
              <w:rPr>
                <w:rFonts w:hint="eastAsia" w:ascii="仿宋_GB2312" w:eastAsia="仿宋_GB2312"/>
                <w:color w:val="FF0000"/>
                <w:sz w:val="24"/>
                <w:lang w:val="en-US"/>
              </w:rPr>
              <w:t>，须</w:t>
            </w:r>
            <w:r>
              <w:rPr>
                <w:rFonts w:ascii="仿宋_GB2312" w:eastAsia="仿宋_GB2312"/>
                <w:color w:val="FF0000"/>
                <w:sz w:val="24"/>
                <w:lang w:val="en-US"/>
              </w:rPr>
              <w:t>给出</w:t>
            </w:r>
            <w:r>
              <w:rPr>
                <w:rFonts w:hint="eastAsia" w:ascii="仿宋_GB2312" w:eastAsia="仿宋_GB2312"/>
                <w:color w:val="FF0000"/>
                <w:sz w:val="24"/>
                <w:lang w:val="en-US"/>
              </w:rPr>
              <w:t>拟新建专业的专、</w:t>
            </w:r>
            <w:r>
              <w:rPr>
                <w:rFonts w:ascii="仿宋_GB2312" w:eastAsia="仿宋_GB2312"/>
                <w:color w:val="FF0000"/>
                <w:sz w:val="24"/>
                <w:lang w:val="en-US"/>
              </w:rPr>
              <w:t>兼职</w:t>
            </w:r>
            <w:r>
              <w:rPr>
                <w:rFonts w:hint="eastAsia" w:ascii="仿宋_GB2312" w:eastAsia="仿宋_GB2312"/>
                <w:color w:val="FF0000"/>
                <w:sz w:val="24"/>
                <w:lang w:val="en-US"/>
              </w:rPr>
              <w:t>教师数量；</w:t>
            </w:r>
            <w:r>
              <w:rPr>
                <w:rFonts w:ascii="仿宋_GB2312" w:eastAsia="仿宋_GB2312"/>
                <w:color w:val="FF0000"/>
                <w:sz w:val="24"/>
                <w:lang w:val="en-US"/>
              </w:rPr>
              <w:t>拟</w:t>
            </w:r>
            <w:r>
              <w:rPr>
                <w:rFonts w:hint="eastAsia" w:ascii="仿宋_GB2312" w:eastAsia="仿宋_GB2312"/>
                <w:color w:val="FF0000"/>
                <w:sz w:val="24"/>
                <w:lang w:val="en-US"/>
              </w:rPr>
              <w:t>新建</w:t>
            </w:r>
            <w:r>
              <w:rPr>
                <w:rFonts w:ascii="仿宋_GB2312" w:eastAsia="仿宋_GB2312"/>
                <w:color w:val="FF0000"/>
                <w:sz w:val="24"/>
                <w:lang w:val="en-US"/>
              </w:rPr>
              <w:t>专业</w:t>
            </w:r>
            <w:r>
              <w:rPr>
                <w:rFonts w:hint="eastAsia" w:ascii="仿宋_GB2312" w:eastAsia="仿宋_GB2312"/>
                <w:color w:val="FF0000"/>
                <w:sz w:val="24"/>
                <w:lang w:val="en-US"/>
              </w:rPr>
              <w:t>招生规模及</w:t>
            </w:r>
            <w:r>
              <w:rPr>
                <w:rFonts w:ascii="仿宋_GB2312" w:eastAsia="仿宋_GB2312"/>
                <w:color w:val="FF0000"/>
                <w:sz w:val="24"/>
                <w:lang w:val="en-US"/>
              </w:rPr>
              <w:t>计划来源</w:t>
            </w:r>
            <w:r>
              <w:rPr>
                <w:rFonts w:hint="eastAsia" w:ascii="仿宋_GB2312" w:eastAsia="仿宋_GB2312"/>
                <w:color w:val="FF0000"/>
                <w:sz w:val="24"/>
                <w:lang w:val="en-US"/>
              </w:rPr>
              <w:t>；其他</w:t>
            </w:r>
            <w:r>
              <w:rPr>
                <w:rFonts w:ascii="仿宋_GB2312" w:eastAsia="仿宋_GB2312"/>
                <w:color w:val="FF0000"/>
                <w:sz w:val="24"/>
                <w:lang w:val="en-US"/>
              </w:rPr>
              <w:t>可能</w:t>
            </w:r>
            <w:r>
              <w:rPr>
                <w:rFonts w:hint="eastAsia" w:ascii="仿宋_GB2312" w:eastAsia="仿宋_GB2312"/>
                <w:color w:val="FF0000"/>
                <w:sz w:val="24"/>
                <w:lang w:val="en-US"/>
              </w:rPr>
              <w:t>对现设专业正常办学产生的影响。限</w:t>
            </w:r>
            <w:r>
              <w:rPr>
                <w:rFonts w:ascii="仿宋_GB2312" w:eastAsia="仿宋_GB2312"/>
                <w:color w:val="FF0000"/>
                <w:sz w:val="24"/>
                <w:lang w:val="en-US"/>
              </w:rPr>
              <w:t>500字</w:t>
            </w:r>
            <w:r>
              <w:rPr>
                <w:rFonts w:hint="eastAsia" w:ascii="仿宋_GB2312" w:eastAsia="仿宋_GB2312"/>
                <w:color w:val="FF0000"/>
                <w:sz w:val="24"/>
                <w:lang w:val="en-US"/>
              </w:rPr>
              <w:t>。）</w:t>
            </w:r>
          </w:p>
          <w:p w14:paraId="7FC4F3CA">
            <w:pPr>
              <w:pStyle w:val="12"/>
              <w:spacing w:before="14" w:line="282" w:lineRule="exact"/>
              <w:ind w:left="90" w:right="19"/>
              <w:rPr>
                <w:rFonts w:hint="eastAsia" w:ascii="黑体" w:hAnsi="黑体" w:eastAsia="黑体"/>
                <w:sz w:val="24"/>
                <w:lang w:val="en-US"/>
              </w:rPr>
            </w:pPr>
          </w:p>
          <w:p w14:paraId="4F8ACD0F">
            <w:pPr>
              <w:pStyle w:val="12"/>
              <w:ind w:firstLine="480"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现设专业为“资源勘查工程”，拟更名为“</w:t>
            </w:r>
            <w:r>
              <w:rPr>
                <w:rFonts w:hint="eastAsia" w:ascii="Times New Roman" w:hAnsi="Times New Roman" w:eastAsia="仿宋_GB2312" w:cs="Times New Roman"/>
                <w:sz w:val="24"/>
              </w:rPr>
              <w:t>资源环境大数据工程</w:t>
            </w:r>
            <w:r>
              <w:rPr>
                <w:rFonts w:hint="eastAsia" w:ascii="仿宋_GB2312" w:eastAsia="仿宋_GB2312"/>
                <w:color w:val="000000" w:themeColor="text1"/>
                <w:sz w:val="24"/>
                <w:lang w:val="en-US"/>
                <w14:textFill>
                  <w14:solidFill>
                    <w14:schemeClr w14:val="tx1"/>
                  </w14:solidFill>
                </w14:textFill>
              </w:rPr>
              <w:t>”，二者同属地质类专业。</w:t>
            </w:r>
            <w:r>
              <w:rPr>
                <w:rFonts w:hint="eastAsia" w:ascii="Times New Roman" w:hAnsi="Times New Roman" w:eastAsia="仿宋_GB2312" w:cs="Times New Roman"/>
                <w:sz w:val="24"/>
              </w:rPr>
              <w:t>资源环境大数据工程专业获批建设后，资源勘查工程专业将停止招生，但</w:t>
            </w:r>
            <w:r>
              <w:rPr>
                <w:rFonts w:hint="eastAsia" w:ascii="Times New Roman" w:hAnsi="Times New Roman" w:eastAsia="仿宋_GB2312" w:cs="Times New Roman"/>
                <w:color w:val="000000" w:themeColor="text1"/>
                <w:sz w:val="24"/>
                <w14:textFill>
                  <w14:solidFill>
                    <w14:schemeClr w14:val="tx1"/>
                  </w14:solidFill>
                </w14:textFill>
              </w:rPr>
              <w:t>两个专业将同时并行办学5年</w:t>
            </w:r>
            <w:r>
              <w:rPr>
                <w:rFonts w:hint="eastAsia" w:ascii="Times New Roman" w:hAnsi="Times New Roman" w:eastAsia="仿宋_GB2312" w:cs="Times New Roman"/>
                <w:sz w:val="24"/>
              </w:rPr>
              <w:t>，直至资源勘查工程专业学生全部毕业、无在校生。资源环境大数据工程专业继承资源勘查工程专业建设中取得的全部成果，例如，</w:t>
            </w:r>
            <w:r>
              <w:rPr>
                <w:rFonts w:hint="eastAsia" w:ascii="仿宋_GB2312" w:eastAsia="仿宋_GB2312"/>
                <w:color w:val="000000" w:themeColor="text1"/>
                <w:sz w:val="24"/>
                <w:lang w:val="en-US"/>
                <w14:textFill>
                  <w14:solidFill>
                    <w14:schemeClr w14:val="tx1"/>
                  </w14:solidFill>
                </w14:textFill>
              </w:rPr>
              <w:t>中国工程教育认证、国家级一流本科建设专业、教育部卓越工程师教育培养计划、辽宁省一流本科专业等。</w:t>
            </w:r>
          </w:p>
          <w:p w14:paraId="247C7FB2">
            <w:pPr>
              <w:pStyle w:val="12"/>
              <w:ind w:firstLine="480"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专业更名后对现设专业师资无较大影响，现有师资队伍全部划归建设资源环境大数据工程专业。预计专职教师将达25人，兼职教师5人；专业招生规模为50~60人/年，计划来源为单独招生，或与现设专业相同（大类招生）。</w:t>
            </w:r>
          </w:p>
          <w:p w14:paraId="32C8346C">
            <w:pPr>
              <w:pStyle w:val="12"/>
              <w:ind w:firstLine="480" w:firstLineChars="200"/>
              <w:jc w:val="both"/>
              <w:rPr>
                <w:rFonts w:hint="eastAsia" w:ascii="仿宋_GB2312" w:eastAsia="仿宋_GB2312"/>
                <w:color w:val="000000" w:themeColor="text1"/>
                <w:sz w:val="24"/>
                <w:lang w:val="en-US"/>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暂无其他可能对现设专业正常办学产生的影响。</w:t>
            </w:r>
          </w:p>
          <w:p w14:paraId="17E4F954">
            <w:pPr>
              <w:pStyle w:val="12"/>
              <w:spacing w:before="14" w:line="282" w:lineRule="exact"/>
              <w:ind w:left="90" w:right="19"/>
              <w:rPr>
                <w:rFonts w:hint="eastAsia" w:ascii="黑体" w:hAnsi="黑体" w:eastAsia="黑体"/>
                <w:sz w:val="24"/>
                <w:lang w:val="en-US"/>
              </w:rPr>
            </w:pPr>
          </w:p>
          <w:p w14:paraId="463DCB5B">
            <w:pPr>
              <w:pStyle w:val="12"/>
              <w:spacing w:before="14" w:line="282" w:lineRule="exact"/>
              <w:ind w:left="90" w:right="19"/>
              <w:rPr>
                <w:rFonts w:hint="eastAsia" w:ascii="黑体" w:hAnsi="黑体" w:eastAsia="黑体"/>
                <w:sz w:val="24"/>
                <w:lang w:val="en-US"/>
              </w:rPr>
            </w:pPr>
          </w:p>
          <w:p w14:paraId="4BAF329B">
            <w:pPr>
              <w:pStyle w:val="12"/>
              <w:spacing w:before="14" w:line="282" w:lineRule="exact"/>
              <w:ind w:left="90" w:right="19"/>
              <w:rPr>
                <w:rFonts w:hint="eastAsia" w:ascii="黑体" w:hAnsi="黑体" w:eastAsia="黑体"/>
                <w:sz w:val="24"/>
                <w:lang w:val="en-US"/>
              </w:rPr>
            </w:pPr>
          </w:p>
          <w:p w14:paraId="1B354844">
            <w:pPr>
              <w:pStyle w:val="12"/>
              <w:spacing w:before="14" w:line="282" w:lineRule="exact"/>
              <w:ind w:left="90" w:right="19"/>
              <w:rPr>
                <w:rFonts w:hint="eastAsia" w:ascii="黑体" w:hAnsi="黑体" w:eastAsia="黑体"/>
                <w:sz w:val="24"/>
                <w:lang w:val="en-US"/>
              </w:rPr>
            </w:pPr>
          </w:p>
          <w:p w14:paraId="66221804">
            <w:pPr>
              <w:pStyle w:val="12"/>
              <w:spacing w:before="14" w:line="282" w:lineRule="exact"/>
              <w:ind w:left="90" w:right="19"/>
              <w:rPr>
                <w:rFonts w:hint="eastAsia" w:ascii="黑体" w:hAnsi="黑体" w:eastAsia="黑体"/>
                <w:sz w:val="24"/>
                <w:lang w:val="en-US"/>
              </w:rPr>
            </w:pPr>
          </w:p>
          <w:p w14:paraId="45003DF3">
            <w:pPr>
              <w:pStyle w:val="12"/>
              <w:spacing w:before="14" w:line="282" w:lineRule="exact"/>
              <w:ind w:left="90" w:right="19"/>
              <w:rPr>
                <w:rFonts w:hint="eastAsia" w:ascii="黑体" w:hAnsi="黑体" w:eastAsia="黑体"/>
                <w:sz w:val="24"/>
                <w:lang w:val="en-US"/>
              </w:rPr>
            </w:pPr>
          </w:p>
        </w:tc>
      </w:tr>
      <w:tr w14:paraId="38D3E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1" w:hRule="atLeast"/>
          <w:jc w:val="center"/>
        </w:trPr>
        <w:tc>
          <w:tcPr>
            <w:tcW w:w="9568" w:type="dxa"/>
            <w:gridSpan w:val="4"/>
          </w:tcPr>
          <w:p w14:paraId="295EE88A">
            <w:pPr>
              <w:pStyle w:val="12"/>
              <w:spacing w:before="14" w:line="282" w:lineRule="exact"/>
              <w:ind w:left="90" w:right="19"/>
              <w:rPr>
                <w:rFonts w:hint="eastAsia" w:ascii="黑体" w:hAnsi="黑体" w:eastAsia="黑体"/>
                <w:sz w:val="24"/>
                <w:lang w:val="en-US"/>
              </w:rPr>
            </w:pPr>
            <w:r>
              <w:rPr>
                <w:rFonts w:hint="eastAsia" w:ascii="黑体" w:hAnsi="黑体" w:eastAsia="黑体"/>
                <w:sz w:val="24"/>
                <w:lang w:val="en-US"/>
              </w:rPr>
              <w:t>申请增设专业所在</w:t>
            </w:r>
            <w:r>
              <w:rPr>
                <w:rFonts w:ascii="黑体" w:hAnsi="黑体" w:eastAsia="黑体"/>
                <w:sz w:val="24"/>
                <w:lang w:val="en-US"/>
              </w:rPr>
              <w:t>学院意见</w:t>
            </w:r>
          </w:p>
          <w:p w14:paraId="390BAE8E">
            <w:pPr>
              <w:pStyle w:val="12"/>
              <w:rPr>
                <w:rFonts w:hint="eastAsia" w:ascii="仿宋_GB2312" w:eastAsia="仿宋_GB2312"/>
                <w:color w:val="FF0000"/>
                <w:sz w:val="24"/>
                <w:lang w:val="en-US"/>
              </w:rPr>
            </w:pPr>
            <w:r>
              <w:rPr>
                <w:rFonts w:hint="eastAsia" w:ascii="仿宋_GB2312" w:eastAsia="仿宋_GB2312"/>
                <w:color w:val="FF0000"/>
                <w:sz w:val="24"/>
                <w:lang w:val="en-US"/>
              </w:rPr>
              <w:t>（包括</w:t>
            </w:r>
            <w:r>
              <w:rPr>
                <w:rFonts w:ascii="仿宋_GB2312" w:eastAsia="仿宋_GB2312"/>
                <w:color w:val="FF0000"/>
                <w:sz w:val="24"/>
                <w:lang w:val="en-US"/>
              </w:rPr>
              <w:t>学院在审议该专业所履行程序情况</w:t>
            </w:r>
            <w:r>
              <w:rPr>
                <w:rFonts w:hint="eastAsia" w:ascii="仿宋_GB2312" w:eastAsia="仿宋_GB2312"/>
                <w:color w:val="FF0000"/>
                <w:sz w:val="24"/>
                <w:lang w:val="en-US"/>
              </w:rPr>
              <w:t>、</w:t>
            </w:r>
            <w:r>
              <w:rPr>
                <w:rFonts w:ascii="仿宋_GB2312" w:eastAsia="仿宋_GB2312"/>
                <w:color w:val="FF0000"/>
                <w:sz w:val="24"/>
                <w:lang w:val="en-US"/>
              </w:rPr>
              <w:t>学院</w:t>
            </w:r>
            <w:r>
              <w:rPr>
                <w:rFonts w:hint="eastAsia" w:ascii="仿宋_GB2312" w:eastAsia="仿宋_GB2312"/>
                <w:color w:val="FF0000"/>
                <w:sz w:val="24"/>
                <w:lang w:val="en-US"/>
              </w:rPr>
              <w:t>领导班子研究决议及推荐</w:t>
            </w:r>
            <w:r>
              <w:rPr>
                <w:rFonts w:ascii="仿宋_GB2312" w:eastAsia="仿宋_GB2312"/>
                <w:color w:val="FF0000"/>
                <w:sz w:val="24"/>
                <w:lang w:val="en-US"/>
              </w:rPr>
              <w:t>意见</w:t>
            </w:r>
            <w:r>
              <w:rPr>
                <w:rFonts w:hint="eastAsia" w:ascii="仿宋_GB2312" w:eastAsia="仿宋_GB2312"/>
                <w:color w:val="FF0000"/>
                <w:sz w:val="24"/>
                <w:lang w:val="en-US"/>
              </w:rPr>
              <w:t>等）</w:t>
            </w:r>
          </w:p>
          <w:p w14:paraId="10344ED0">
            <w:pPr>
              <w:pStyle w:val="12"/>
              <w:spacing w:before="14" w:line="282" w:lineRule="exact"/>
              <w:ind w:left="90" w:right="19"/>
              <w:rPr>
                <w:rFonts w:hint="eastAsia" w:ascii="仿宋_GB2312" w:eastAsia="仿宋_GB2312"/>
                <w:sz w:val="24"/>
                <w:lang w:val="en-US"/>
              </w:rPr>
            </w:pPr>
          </w:p>
          <w:p w14:paraId="41C03124">
            <w:pPr>
              <w:pStyle w:val="12"/>
              <w:spacing w:before="14" w:line="282" w:lineRule="exact"/>
              <w:ind w:left="90" w:right="19"/>
              <w:rPr>
                <w:rFonts w:hint="eastAsia" w:ascii="仿宋_GB2312" w:eastAsia="仿宋_GB2312"/>
                <w:sz w:val="24"/>
                <w:lang w:val="en-US"/>
              </w:rPr>
            </w:pPr>
          </w:p>
          <w:p w14:paraId="052A1909">
            <w:pPr>
              <w:pStyle w:val="12"/>
              <w:spacing w:before="14" w:line="282" w:lineRule="exact"/>
              <w:ind w:left="90" w:right="19"/>
              <w:rPr>
                <w:rFonts w:hint="eastAsia" w:ascii="仿宋_GB2312" w:eastAsia="仿宋_GB2312"/>
                <w:sz w:val="24"/>
                <w:lang w:val="en-US"/>
              </w:rPr>
            </w:pPr>
          </w:p>
          <w:p w14:paraId="3B0F1169">
            <w:pPr>
              <w:pStyle w:val="12"/>
              <w:spacing w:before="14" w:line="282" w:lineRule="exact"/>
              <w:ind w:left="90" w:right="19"/>
              <w:rPr>
                <w:rFonts w:hint="eastAsia" w:ascii="仿宋_GB2312" w:eastAsia="仿宋_GB2312"/>
                <w:sz w:val="24"/>
                <w:lang w:val="en-US"/>
              </w:rPr>
            </w:pPr>
          </w:p>
          <w:p w14:paraId="4C1BCA40">
            <w:pPr>
              <w:pStyle w:val="12"/>
              <w:spacing w:before="14" w:line="282" w:lineRule="exact"/>
              <w:ind w:left="90" w:right="19"/>
              <w:rPr>
                <w:rFonts w:hint="eastAsia" w:ascii="仿宋_GB2312" w:eastAsia="仿宋_GB2312"/>
                <w:sz w:val="24"/>
                <w:lang w:val="en-US"/>
              </w:rPr>
            </w:pPr>
          </w:p>
          <w:p w14:paraId="612AE2AC">
            <w:pPr>
              <w:pStyle w:val="12"/>
              <w:spacing w:before="14" w:line="282" w:lineRule="exact"/>
              <w:ind w:left="90" w:right="19"/>
              <w:rPr>
                <w:rFonts w:hint="eastAsia" w:ascii="仿宋_GB2312" w:eastAsia="仿宋_GB2312"/>
                <w:sz w:val="24"/>
                <w:lang w:val="en-US"/>
              </w:rPr>
            </w:pPr>
          </w:p>
          <w:p w14:paraId="4546D021">
            <w:pPr>
              <w:pStyle w:val="12"/>
              <w:spacing w:before="14" w:line="282" w:lineRule="exact"/>
              <w:ind w:left="90" w:right="19"/>
              <w:rPr>
                <w:rFonts w:hint="eastAsia" w:ascii="仿宋_GB2312" w:eastAsia="仿宋_GB2312"/>
                <w:sz w:val="24"/>
                <w:lang w:val="en-US"/>
              </w:rPr>
            </w:pPr>
          </w:p>
          <w:p w14:paraId="48AB4E31">
            <w:pPr>
              <w:pStyle w:val="12"/>
              <w:spacing w:before="14" w:line="282" w:lineRule="exact"/>
              <w:ind w:left="90" w:right="19"/>
              <w:rPr>
                <w:rFonts w:hint="eastAsia" w:ascii="仿宋_GB2312" w:eastAsia="仿宋_GB2312"/>
                <w:sz w:val="24"/>
                <w:lang w:val="en-US"/>
              </w:rPr>
            </w:pPr>
          </w:p>
          <w:p w14:paraId="6EE37D39">
            <w:pPr>
              <w:pStyle w:val="12"/>
              <w:spacing w:before="14" w:line="282" w:lineRule="exact"/>
              <w:ind w:left="90" w:right="19"/>
              <w:rPr>
                <w:rFonts w:hint="eastAsia" w:ascii="仿宋_GB2312" w:eastAsia="仿宋_GB2312"/>
                <w:sz w:val="24"/>
                <w:lang w:val="en-US"/>
              </w:rPr>
            </w:pPr>
          </w:p>
          <w:p w14:paraId="2847E23A">
            <w:pPr>
              <w:pStyle w:val="12"/>
              <w:spacing w:before="14" w:line="282" w:lineRule="exact"/>
              <w:ind w:left="90" w:right="19"/>
              <w:rPr>
                <w:rFonts w:hint="eastAsia" w:ascii="仿宋_GB2312" w:eastAsia="仿宋_GB2312"/>
                <w:sz w:val="24"/>
                <w:lang w:val="en-US"/>
              </w:rPr>
            </w:pPr>
          </w:p>
          <w:p w14:paraId="68BEA1E9">
            <w:pPr>
              <w:pStyle w:val="12"/>
              <w:spacing w:before="14" w:line="282" w:lineRule="exact"/>
              <w:ind w:left="90" w:right="19"/>
              <w:rPr>
                <w:rFonts w:hint="eastAsia" w:ascii="仿宋_GB2312" w:eastAsia="仿宋_GB2312"/>
                <w:sz w:val="24"/>
                <w:lang w:val="en-US"/>
              </w:rPr>
            </w:pPr>
          </w:p>
          <w:p w14:paraId="7456557D">
            <w:pPr>
              <w:pStyle w:val="12"/>
              <w:spacing w:before="14" w:line="282" w:lineRule="exact"/>
              <w:ind w:left="90" w:right="19"/>
              <w:rPr>
                <w:rFonts w:hint="eastAsia" w:ascii="仿宋_GB2312" w:eastAsia="仿宋_GB2312"/>
                <w:sz w:val="24"/>
                <w:lang w:val="en-US"/>
              </w:rPr>
            </w:pPr>
            <w:r>
              <w:rPr>
                <w:rFonts w:hint="eastAsia" w:ascii="仿宋_GB2312" w:eastAsia="仿宋_GB2312"/>
                <w:sz w:val="24"/>
                <w:lang w:val="en-US"/>
              </w:rPr>
              <w:t xml:space="preserve">                                     院长</w:t>
            </w:r>
            <w:r>
              <w:rPr>
                <w:rFonts w:ascii="仿宋_GB2312" w:eastAsia="仿宋_GB2312"/>
                <w:sz w:val="24"/>
                <w:lang w:val="en-US"/>
              </w:rPr>
              <w:t>签字：</w:t>
            </w:r>
            <w:r>
              <w:rPr>
                <w:rFonts w:hint="eastAsia" w:ascii="仿宋_GB2312" w:eastAsia="仿宋_GB2312"/>
                <w:sz w:val="24"/>
                <w:lang w:val="en-US"/>
              </w:rPr>
              <w:t xml:space="preserve">   </w:t>
            </w:r>
            <w:r>
              <w:rPr>
                <w:rFonts w:ascii="仿宋_GB2312" w:eastAsia="仿宋_GB2312"/>
                <w:sz w:val="24"/>
                <w:lang w:val="en-US"/>
              </w:rPr>
              <w:t xml:space="preserve">       </w:t>
            </w:r>
            <w:r>
              <w:rPr>
                <w:rFonts w:hint="eastAsia" w:ascii="仿宋_GB2312" w:eastAsia="仿宋_GB2312"/>
                <w:sz w:val="24"/>
                <w:lang w:val="en-US"/>
              </w:rPr>
              <w:t xml:space="preserve">  学院</w:t>
            </w:r>
            <w:r>
              <w:rPr>
                <w:rFonts w:ascii="仿宋_GB2312" w:eastAsia="仿宋_GB2312"/>
                <w:sz w:val="24"/>
                <w:lang w:val="en-US"/>
              </w:rPr>
              <w:t>盖章</w:t>
            </w:r>
            <w:r>
              <w:rPr>
                <w:rFonts w:hint="eastAsia" w:ascii="仿宋_GB2312" w:eastAsia="仿宋_GB2312"/>
                <w:sz w:val="24"/>
                <w:lang w:val="en-US"/>
              </w:rPr>
              <w:t xml:space="preserve"> </w:t>
            </w:r>
          </w:p>
          <w:p w14:paraId="2F1A8131">
            <w:pPr>
              <w:pStyle w:val="12"/>
              <w:spacing w:before="14" w:line="282" w:lineRule="exact"/>
              <w:ind w:left="90" w:right="19"/>
              <w:rPr>
                <w:rFonts w:hint="eastAsia" w:ascii="仿宋_GB2312" w:eastAsia="仿宋_GB2312"/>
                <w:sz w:val="24"/>
                <w:lang w:val="en-US"/>
              </w:rPr>
            </w:pPr>
          </w:p>
          <w:p w14:paraId="26DAF41E">
            <w:pPr>
              <w:pStyle w:val="12"/>
              <w:spacing w:before="14" w:line="282" w:lineRule="exact"/>
              <w:ind w:left="90" w:right="19"/>
              <w:rPr>
                <w:rFonts w:hint="eastAsia" w:ascii="仿宋_GB2312" w:eastAsia="仿宋_GB2312"/>
                <w:sz w:val="24"/>
                <w:lang w:val="en-US"/>
              </w:rPr>
            </w:pPr>
            <w:r>
              <w:rPr>
                <w:rFonts w:hint="eastAsia" w:ascii="仿宋_GB2312" w:eastAsia="仿宋_GB2312"/>
                <w:sz w:val="24"/>
                <w:lang w:val="en-US"/>
              </w:rPr>
              <w:t xml:space="preserve">                                                  </w:t>
            </w:r>
            <w:r>
              <w:rPr>
                <w:rFonts w:ascii="仿宋_GB2312" w:eastAsia="仿宋_GB2312"/>
                <w:sz w:val="24"/>
                <w:lang w:val="en-US"/>
              </w:rPr>
              <w:t xml:space="preserve">       </w:t>
            </w:r>
            <w:r>
              <w:rPr>
                <w:rFonts w:hint="eastAsia" w:ascii="仿宋_GB2312" w:eastAsia="仿宋_GB2312"/>
                <w:sz w:val="24"/>
                <w:lang w:val="en-US"/>
              </w:rPr>
              <w:t xml:space="preserve"> 年    月     日</w:t>
            </w:r>
          </w:p>
        </w:tc>
      </w:tr>
    </w:tbl>
    <w:p w14:paraId="349FB259">
      <w:pPr>
        <w:ind w:left="440" w:leftChars="200" w:right="440" w:rightChars="200"/>
        <w:rPr>
          <w:rFonts w:hint="eastAsia" w:ascii="仿宋_GB2312" w:eastAsia="仿宋_GB2312"/>
          <w:sz w:val="24"/>
          <w:lang w:val="en-US"/>
        </w:rPr>
      </w:pPr>
    </w:p>
    <w:sectPr>
      <w:headerReference r:id="rId3" w:type="default"/>
      <w:pgSz w:w="11910" w:h="16840"/>
      <w:pgMar w:top="720" w:right="720" w:bottom="720" w:left="720" w:header="1320" w:footer="567"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45E0B">
    <w:pPr>
      <w:pStyle w:val="2"/>
      <w:spacing w:line="14" w:lineRule="auto"/>
      <w:rPr>
        <w:rFonts w:hint="eastAs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lZGI5OThhYzAyNzFkOWZkZjIxNTE2MDJiZWU2NTUifQ=="/>
  </w:docVars>
  <w:rsids>
    <w:rsidRoot w:val="009D0705"/>
    <w:rsid w:val="00002585"/>
    <w:rsid w:val="000041CD"/>
    <w:rsid w:val="0001133E"/>
    <w:rsid w:val="0001185F"/>
    <w:rsid w:val="00011861"/>
    <w:rsid w:val="00013CD3"/>
    <w:rsid w:val="00014276"/>
    <w:rsid w:val="00015B6B"/>
    <w:rsid w:val="00023EFF"/>
    <w:rsid w:val="000257F6"/>
    <w:rsid w:val="00033E9E"/>
    <w:rsid w:val="0003442E"/>
    <w:rsid w:val="00035057"/>
    <w:rsid w:val="00035116"/>
    <w:rsid w:val="000411F2"/>
    <w:rsid w:val="00041B7A"/>
    <w:rsid w:val="0004421D"/>
    <w:rsid w:val="000456DD"/>
    <w:rsid w:val="00057DDC"/>
    <w:rsid w:val="00062897"/>
    <w:rsid w:val="0007121C"/>
    <w:rsid w:val="00073E69"/>
    <w:rsid w:val="000809D2"/>
    <w:rsid w:val="00081717"/>
    <w:rsid w:val="00082645"/>
    <w:rsid w:val="00084B19"/>
    <w:rsid w:val="00094069"/>
    <w:rsid w:val="00094B7F"/>
    <w:rsid w:val="000A00C2"/>
    <w:rsid w:val="000A1ED0"/>
    <w:rsid w:val="000A5E0C"/>
    <w:rsid w:val="000B7B36"/>
    <w:rsid w:val="000C3020"/>
    <w:rsid w:val="000C5276"/>
    <w:rsid w:val="000D3428"/>
    <w:rsid w:val="000D5E2A"/>
    <w:rsid w:val="000E1A60"/>
    <w:rsid w:val="000E4949"/>
    <w:rsid w:val="000E51B8"/>
    <w:rsid w:val="000E6B31"/>
    <w:rsid w:val="000E7BEC"/>
    <w:rsid w:val="000F0107"/>
    <w:rsid w:val="000F06C6"/>
    <w:rsid w:val="000F4581"/>
    <w:rsid w:val="00104DF6"/>
    <w:rsid w:val="00113A22"/>
    <w:rsid w:val="00120218"/>
    <w:rsid w:val="001239CD"/>
    <w:rsid w:val="00130C29"/>
    <w:rsid w:val="0013115C"/>
    <w:rsid w:val="0013170A"/>
    <w:rsid w:val="001334E1"/>
    <w:rsid w:val="00133A31"/>
    <w:rsid w:val="00140E9C"/>
    <w:rsid w:val="00146B14"/>
    <w:rsid w:val="00152970"/>
    <w:rsid w:val="00155A70"/>
    <w:rsid w:val="00162BAF"/>
    <w:rsid w:val="00164996"/>
    <w:rsid w:val="001675FC"/>
    <w:rsid w:val="0017110B"/>
    <w:rsid w:val="00171F11"/>
    <w:rsid w:val="00172B3B"/>
    <w:rsid w:val="0017484B"/>
    <w:rsid w:val="00177CCE"/>
    <w:rsid w:val="00180612"/>
    <w:rsid w:val="0018312A"/>
    <w:rsid w:val="00185CCB"/>
    <w:rsid w:val="0019272B"/>
    <w:rsid w:val="00193F4B"/>
    <w:rsid w:val="00195224"/>
    <w:rsid w:val="001976E4"/>
    <w:rsid w:val="001A6133"/>
    <w:rsid w:val="001A6367"/>
    <w:rsid w:val="001B10BB"/>
    <w:rsid w:val="001B1B57"/>
    <w:rsid w:val="001B1FF5"/>
    <w:rsid w:val="001B5A98"/>
    <w:rsid w:val="001B77BF"/>
    <w:rsid w:val="001C07D1"/>
    <w:rsid w:val="001C2B41"/>
    <w:rsid w:val="001C5039"/>
    <w:rsid w:val="001C5317"/>
    <w:rsid w:val="001C61A8"/>
    <w:rsid w:val="001C6456"/>
    <w:rsid w:val="001C669F"/>
    <w:rsid w:val="001C7BF2"/>
    <w:rsid w:val="001D1489"/>
    <w:rsid w:val="001D29E7"/>
    <w:rsid w:val="001D3527"/>
    <w:rsid w:val="001D401E"/>
    <w:rsid w:val="001F55AD"/>
    <w:rsid w:val="001F6876"/>
    <w:rsid w:val="00200C28"/>
    <w:rsid w:val="0020188C"/>
    <w:rsid w:val="00202E75"/>
    <w:rsid w:val="0020522E"/>
    <w:rsid w:val="0020556C"/>
    <w:rsid w:val="00215248"/>
    <w:rsid w:val="00220BC5"/>
    <w:rsid w:val="00225E1A"/>
    <w:rsid w:val="00226EA7"/>
    <w:rsid w:val="002321C8"/>
    <w:rsid w:val="00233C1A"/>
    <w:rsid w:val="00236148"/>
    <w:rsid w:val="00251DB9"/>
    <w:rsid w:val="00252601"/>
    <w:rsid w:val="00256553"/>
    <w:rsid w:val="00265351"/>
    <w:rsid w:val="00266964"/>
    <w:rsid w:val="00280FAF"/>
    <w:rsid w:val="002819F7"/>
    <w:rsid w:val="00281FC0"/>
    <w:rsid w:val="00284030"/>
    <w:rsid w:val="0028428D"/>
    <w:rsid w:val="002855B7"/>
    <w:rsid w:val="002901D0"/>
    <w:rsid w:val="00294389"/>
    <w:rsid w:val="002A2487"/>
    <w:rsid w:val="002A727F"/>
    <w:rsid w:val="002B62D0"/>
    <w:rsid w:val="002B7226"/>
    <w:rsid w:val="002C0805"/>
    <w:rsid w:val="002C17EE"/>
    <w:rsid w:val="002C3C46"/>
    <w:rsid w:val="002C51C8"/>
    <w:rsid w:val="002C5EFC"/>
    <w:rsid w:val="002D413C"/>
    <w:rsid w:val="002D62BF"/>
    <w:rsid w:val="002F5606"/>
    <w:rsid w:val="002F7FB6"/>
    <w:rsid w:val="00303244"/>
    <w:rsid w:val="003060FE"/>
    <w:rsid w:val="00312F54"/>
    <w:rsid w:val="003148C2"/>
    <w:rsid w:val="00315092"/>
    <w:rsid w:val="0032293F"/>
    <w:rsid w:val="00330E34"/>
    <w:rsid w:val="00336CD4"/>
    <w:rsid w:val="003379BA"/>
    <w:rsid w:val="003405FE"/>
    <w:rsid w:val="00340A27"/>
    <w:rsid w:val="0034226A"/>
    <w:rsid w:val="0034267D"/>
    <w:rsid w:val="00344038"/>
    <w:rsid w:val="00346078"/>
    <w:rsid w:val="00346698"/>
    <w:rsid w:val="00356327"/>
    <w:rsid w:val="00356B2C"/>
    <w:rsid w:val="00360D17"/>
    <w:rsid w:val="003633A2"/>
    <w:rsid w:val="0036610A"/>
    <w:rsid w:val="003945C6"/>
    <w:rsid w:val="003A19BB"/>
    <w:rsid w:val="003A1DF8"/>
    <w:rsid w:val="003A31DC"/>
    <w:rsid w:val="003A3EE3"/>
    <w:rsid w:val="003B16B8"/>
    <w:rsid w:val="003B577B"/>
    <w:rsid w:val="003C0A50"/>
    <w:rsid w:val="003C1F5B"/>
    <w:rsid w:val="003D4061"/>
    <w:rsid w:val="003E178C"/>
    <w:rsid w:val="003E1FCC"/>
    <w:rsid w:val="003F4721"/>
    <w:rsid w:val="003F60ED"/>
    <w:rsid w:val="00403611"/>
    <w:rsid w:val="0040639C"/>
    <w:rsid w:val="00407D95"/>
    <w:rsid w:val="004121CA"/>
    <w:rsid w:val="00413539"/>
    <w:rsid w:val="004176F2"/>
    <w:rsid w:val="00420DFD"/>
    <w:rsid w:val="00424522"/>
    <w:rsid w:val="004249C8"/>
    <w:rsid w:val="00432754"/>
    <w:rsid w:val="0043551C"/>
    <w:rsid w:val="00436046"/>
    <w:rsid w:val="004368FD"/>
    <w:rsid w:val="004404E2"/>
    <w:rsid w:val="004412D2"/>
    <w:rsid w:val="00445132"/>
    <w:rsid w:val="00446EB2"/>
    <w:rsid w:val="00447132"/>
    <w:rsid w:val="0045133E"/>
    <w:rsid w:val="0045172C"/>
    <w:rsid w:val="00452E03"/>
    <w:rsid w:val="0045553A"/>
    <w:rsid w:val="00456D4F"/>
    <w:rsid w:val="004612A2"/>
    <w:rsid w:val="0046193A"/>
    <w:rsid w:val="00463782"/>
    <w:rsid w:val="00463ED7"/>
    <w:rsid w:val="00464565"/>
    <w:rsid w:val="00467D68"/>
    <w:rsid w:val="00470167"/>
    <w:rsid w:val="0047716A"/>
    <w:rsid w:val="00477BAA"/>
    <w:rsid w:val="00481D9E"/>
    <w:rsid w:val="00482739"/>
    <w:rsid w:val="00483CFB"/>
    <w:rsid w:val="004927A5"/>
    <w:rsid w:val="004934C9"/>
    <w:rsid w:val="0049452B"/>
    <w:rsid w:val="0049760F"/>
    <w:rsid w:val="00497785"/>
    <w:rsid w:val="004A4CE1"/>
    <w:rsid w:val="004A638B"/>
    <w:rsid w:val="004B0EFC"/>
    <w:rsid w:val="004C5363"/>
    <w:rsid w:val="004D0A1B"/>
    <w:rsid w:val="004E1314"/>
    <w:rsid w:val="004E1B5D"/>
    <w:rsid w:val="004E58FF"/>
    <w:rsid w:val="004F2595"/>
    <w:rsid w:val="004F371B"/>
    <w:rsid w:val="00502995"/>
    <w:rsid w:val="00503250"/>
    <w:rsid w:val="00504904"/>
    <w:rsid w:val="0050638C"/>
    <w:rsid w:val="0051478A"/>
    <w:rsid w:val="005179C2"/>
    <w:rsid w:val="0052351D"/>
    <w:rsid w:val="005279B2"/>
    <w:rsid w:val="00532390"/>
    <w:rsid w:val="00535BF4"/>
    <w:rsid w:val="00536D2A"/>
    <w:rsid w:val="00537BA0"/>
    <w:rsid w:val="005419B7"/>
    <w:rsid w:val="00545566"/>
    <w:rsid w:val="00546EEC"/>
    <w:rsid w:val="00547215"/>
    <w:rsid w:val="005523C8"/>
    <w:rsid w:val="00554F07"/>
    <w:rsid w:val="005601B2"/>
    <w:rsid w:val="00566377"/>
    <w:rsid w:val="00567CC8"/>
    <w:rsid w:val="00567DA9"/>
    <w:rsid w:val="00570EFE"/>
    <w:rsid w:val="0058042A"/>
    <w:rsid w:val="00580BB9"/>
    <w:rsid w:val="00597599"/>
    <w:rsid w:val="005A4ADF"/>
    <w:rsid w:val="005A4F07"/>
    <w:rsid w:val="005A66BC"/>
    <w:rsid w:val="005B1BBB"/>
    <w:rsid w:val="005B2CE7"/>
    <w:rsid w:val="005C4E5B"/>
    <w:rsid w:val="005C7332"/>
    <w:rsid w:val="005C79EE"/>
    <w:rsid w:val="005D3AC2"/>
    <w:rsid w:val="005D5C56"/>
    <w:rsid w:val="005E0F5B"/>
    <w:rsid w:val="005E2379"/>
    <w:rsid w:val="005E48F4"/>
    <w:rsid w:val="005E60AA"/>
    <w:rsid w:val="005F0ACF"/>
    <w:rsid w:val="005F2B2E"/>
    <w:rsid w:val="005F6A2F"/>
    <w:rsid w:val="005F6CE3"/>
    <w:rsid w:val="00604602"/>
    <w:rsid w:val="0060476C"/>
    <w:rsid w:val="006054BE"/>
    <w:rsid w:val="00605DA2"/>
    <w:rsid w:val="006108E7"/>
    <w:rsid w:val="00611510"/>
    <w:rsid w:val="00612E5B"/>
    <w:rsid w:val="006150F5"/>
    <w:rsid w:val="00620A9C"/>
    <w:rsid w:val="00621870"/>
    <w:rsid w:val="00624EC1"/>
    <w:rsid w:val="00626E74"/>
    <w:rsid w:val="00631300"/>
    <w:rsid w:val="00633398"/>
    <w:rsid w:val="006411DB"/>
    <w:rsid w:val="0065198B"/>
    <w:rsid w:val="00653E17"/>
    <w:rsid w:val="0065538C"/>
    <w:rsid w:val="00661990"/>
    <w:rsid w:val="00672B81"/>
    <w:rsid w:val="0067354A"/>
    <w:rsid w:val="00677CC1"/>
    <w:rsid w:val="00687300"/>
    <w:rsid w:val="00693033"/>
    <w:rsid w:val="00694D84"/>
    <w:rsid w:val="0069617E"/>
    <w:rsid w:val="00696EF9"/>
    <w:rsid w:val="006A6363"/>
    <w:rsid w:val="006A77BE"/>
    <w:rsid w:val="006A78BB"/>
    <w:rsid w:val="006C31B6"/>
    <w:rsid w:val="006C7E1D"/>
    <w:rsid w:val="006D3F44"/>
    <w:rsid w:val="006D45CF"/>
    <w:rsid w:val="006E6824"/>
    <w:rsid w:val="006F16E4"/>
    <w:rsid w:val="006F52E0"/>
    <w:rsid w:val="006F5C43"/>
    <w:rsid w:val="00711437"/>
    <w:rsid w:val="00711FFC"/>
    <w:rsid w:val="00712C79"/>
    <w:rsid w:val="00712D2A"/>
    <w:rsid w:val="007138B9"/>
    <w:rsid w:val="00714B18"/>
    <w:rsid w:val="00716409"/>
    <w:rsid w:val="00717784"/>
    <w:rsid w:val="00717B13"/>
    <w:rsid w:val="00721CCF"/>
    <w:rsid w:val="007234CF"/>
    <w:rsid w:val="00723898"/>
    <w:rsid w:val="00723B30"/>
    <w:rsid w:val="007246C6"/>
    <w:rsid w:val="00726433"/>
    <w:rsid w:val="00727448"/>
    <w:rsid w:val="00730949"/>
    <w:rsid w:val="0073537E"/>
    <w:rsid w:val="0074762A"/>
    <w:rsid w:val="00750FBA"/>
    <w:rsid w:val="0075252D"/>
    <w:rsid w:val="00754EDC"/>
    <w:rsid w:val="00756379"/>
    <w:rsid w:val="007578C2"/>
    <w:rsid w:val="00757B78"/>
    <w:rsid w:val="00760815"/>
    <w:rsid w:val="007614DE"/>
    <w:rsid w:val="00761FD1"/>
    <w:rsid w:val="00763F07"/>
    <w:rsid w:val="0076609B"/>
    <w:rsid w:val="007712B2"/>
    <w:rsid w:val="00773C42"/>
    <w:rsid w:val="00776A3D"/>
    <w:rsid w:val="007814C3"/>
    <w:rsid w:val="00785682"/>
    <w:rsid w:val="0078710C"/>
    <w:rsid w:val="00795D0C"/>
    <w:rsid w:val="007A3126"/>
    <w:rsid w:val="007A4F13"/>
    <w:rsid w:val="007A5B1E"/>
    <w:rsid w:val="007B0F35"/>
    <w:rsid w:val="007B1B3D"/>
    <w:rsid w:val="007B2093"/>
    <w:rsid w:val="007C164B"/>
    <w:rsid w:val="007C747D"/>
    <w:rsid w:val="007D108E"/>
    <w:rsid w:val="007D492C"/>
    <w:rsid w:val="007E331C"/>
    <w:rsid w:val="007E410A"/>
    <w:rsid w:val="007E6F7C"/>
    <w:rsid w:val="007F1A75"/>
    <w:rsid w:val="007F275E"/>
    <w:rsid w:val="007F278F"/>
    <w:rsid w:val="007F3113"/>
    <w:rsid w:val="007F44F2"/>
    <w:rsid w:val="00813A27"/>
    <w:rsid w:val="00816503"/>
    <w:rsid w:val="008206B8"/>
    <w:rsid w:val="008227D3"/>
    <w:rsid w:val="00823EFB"/>
    <w:rsid w:val="00833CC1"/>
    <w:rsid w:val="00834E56"/>
    <w:rsid w:val="00835D1D"/>
    <w:rsid w:val="008367F0"/>
    <w:rsid w:val="008474F5"/>
    <w:rsid w:val="008505F7"/>
    <w:rsid w:val="008522F8"/>
    <w:rsid w:val="00852B07"/>
    <w:rsid w:val="00854DEB"/>
    <w:rsid w:val="008601A8"/>
    <w:rsid w:val="00862A1A"/>
    <w:rsid w:val="008649A2"/>
    <w:rsid w:val="00870427"/>
    <w:rsid w:val="0087083B"/>
    <w:rsid w:val="00872374"/>
    <w:rsid w:val="00874422"/>
    <w:rsid w:val="00874B9F"/>
    <w:rsid w:val="008778F8"/>
    <w:rsid w:val="008831A4"/>
    <w:rsid w:val="008840DF"/>
    <w:rsid w:val="008901C8"/>
    <w:rsid w:val="008A2AF1"/>
    <w:rsid w:val="008A4EDB"/>
    <w:rsid w:val="008A50C6"/>
    <w:rsid w:val="008A64E7"/>
    <w:rsid w:val="008B2B5E"/>
    <w:rsid w:val="008B3B5D"/>
    <w:rsid w:val="008B58A0"/>
    <w:rsid w:val="008C1C85"/>
    <w:rsid w:val="008D1543"/>
    <w:rsid w:val="008D217B"/>
    <w:rsid w:val="008D465A"/>
    <w:rsid w:val="008D5594"/>
    <w:rsid w:val="008E1CF6"/>
    <w:rsid w:val="008E5B2E"/>
    <w:rsid w:val="008F1548"/>
    <w:rsid w:val="008F1D9F"/>
    <w:rsid w:val="008F35F9"/>
    <w:rsid w:val="00900A2D"/>
    <w:rsid w:val="0090272E"/>
    <w:rsid w:val="00907285"/>
    <w:rsid w:val="00907C9B"/>
    <w:rsid w:val="00910E1F"/>
    <w:rsid w:val="00917063"/>
    <w:rsid w:val="009172DA"/>
    <w:rsid w:val="009243FD"/>
    <w:rsid w:val="0093128F"/>
    <w:rsid w:val="00931C79"/>
    <w:rsid w:val="00932ECA"/>
    <w:rsid w:val="00951EC8"/>
    <w:rsid w:val="00953648"/>
    <w:rsid w:val="0095468A"/>
    <w:rsid w:val="00956293"/>
    <w:rsid w:val="009606F1"/>
    <w:rsid w:val="0096241A"/>
    <w:rsid w:val="009632E2"/>
    <w:rsid w:val="00967056"/>
    <w:rsid w:val="00971360"/>
    <w:rsid w:val="00974235"/>
    <w:rsid w:val="00974D5C"/>
    <w:rsid w:val="00980B03"/>
    <w:rsid w:val="00981269"/>
    <w:rsid w:val="0098157C"/>
    <w:rsid w:val="009916E5"/>
    <w:rsid w:val="00991797"/>
    <w:rsid w:val="0099382F"/>
    <w:rsid w:val="00995DE2"/>
    <w:rsid w:val="00996344"/>
    <w:rsid w:val="0099753E"/>
    <w:rsid w:val="009979BF"/>
    <w:rsid w:val="009A37F6"/>
    <w:rsid w:val="009A52D3"/>
    <w:rsid w:val="009A64E0"/>
    <w:rsid w:val="009A7958"/>
    <w:rsid w:val="009B1032"/>
    <w:rsid w:val="009B2B6A"/>
    <w:rsid w:val="009B513D"/>
    <w:rsid w:val="009B52B0"/>
    <w:rsid w:val="009B6A6B"/>
    <w:rsid w:val="009B7792"/>
    <w:rsid w:val="009C4A6A"/>
    <w:rsid w:val="009C5A60"/>
    <w:rsid w:val="009C6215"/>
    <w:rsid w:val="009D03B9"/>
    <w:rsid w:val="009D0705"/>
    <w:rsid w:val="009D6040"/>
    <w:rsid w:val="009D655C"/>
    <w:rsid w:val="009D7BE3"/>
    <w:rsid w:val="009D7CBD"/>
    <w:rsid w:val="009E0085"/>
    <w:rsid w:val="009E2186"/>
    <w:rsid w:val="009E2AD3"/>
    <w:rsid w:val="009E3067"/>
    <w:rsid w:val="009E5971"/>
    <w:rsid w:val="009F47C5"/>
    <w:rsid w:val="009F4B1D"/>
    <w:rsid w:val="00A0720F"/>
    <w:rsid w:val="00A101B8"/>
    <w:rsid w:val="00A152C3"/>
    <w:rsid w:val="00A16046"/>
    <w:rsid w:val="00A16FA2"/>
    <w:rsid w:val="00A20597"/>
    <w:rsid w:val="00A20752"/>
    <w:rsid w:val="00A2382F"/>
    <w:rsid w:val="00A23D3F"/>
    <w:rsid w:val="00A255B3"/>
    <w:rsid w:val="00A261FA"/>
    <w:rsid w:val="00A326EE"/>
    <w:rsid w:val="00A45941"/>
    <w:rsid w:val="00A471E3"/>
    <w:rsid w:val="00A514C9"/>
    <w:rsid w:val="00A523B2"/>
    <w:rsid w:val="00A53A77"/>
    <w:rsid w:val="00A53D2F"/>
    <w:rsid w:val="00A57ECB"/>
    <w:rsid w:val="00A63DBB"/>
    <w:rsid w:val="00A66549"/>
    <w:rsid w:val="00A705F3"/>
    <w:rsid w:val="00A7454B"/>
    <w:rsid w:val="00A75887"/>
    <w:rsid w:val="00A80512"/>
    <w:rsid w:val="00A827BD"/>
    <w:rsid w:val="00A82AA4"/>
    <w:rsid w:val="00A82CE7"/>
    <w:rsid w:val="00A82E44"/>
    <w:rsid w:val="00A858A8"/>
    <w:rsid w:val="00A86C2D"/>
    <w:rsid w:val="00A902B3"/>
    <w:rsid w:val="00A903F8"/>
    <w:rsid w:val="00A90840"/>
    <w:rsid w:val="00A90FF3"/>
    <w:rsid w:val="00A938D8"/>
    <w:rsid w:val="00A96012"/>
    <w:rsid w:val="00A96983"/>
    <w:rsid w:val="00A97592"/>
    <w:rsid w:val="00AA0396"/>
    <w:rsid w:val="00AA3CDE"/>
    <w:rsid w:val="00AA4E32"/>
    <w:rsid w:val="00AA555D"/>
    <w:rsid w:val="00AB387D"/>
    <w:rsid w:val="00AC15B4"/>
    <w:rsid w:val="00AC1806"/>
    <w:rsid w:val="00AC27F2"/>
    <w:rsid w:val="00AC2CF7"/>
    <w:rsid w:val="00AC55F2"/>
    <w:rsid w:val="00AC70C2"/>
    <w:rsid w:val="00AD0ED9"/>
    <w:rsid w:val="00AD157B"/>
    <w:rsid w:val="00AD2853"/>
    <w:rsid w:val="00AD30EB"/>
    <w:rsid w:val="00AD6937"/>
    <w:rsid w:val="00AE0C13"/>
    <w:rsid w:val="00AE1249"/>
    <w:rsid w:val="00AE3139"/>
    <w:rsid w:val="00AE4B04"/>
    <w:rsid w:val="00AE77C1"/>
    <w:rsid w:val="00AF4FAF"/>
    <w:rsid w:val="00AF6A26"/>
    <w:rsid w:val="00AF700C"/>
    <w:rsid w:val="00B07DDC"/>
    <w:rsid w:val="00B110E1"/>
    <w:rsid w:val="00B1579A"/>
    <w:rsid w:val="00B20C56"/>
    <w:rsid w:val="00B30569"/>
    <w:rsid w:val="00B30996"/>
    <w:rsid w:val="00B311E1"/>
    <w:rsid w:val="00B4092C"/>
    <w:rsid w:val="00B43E1C"/>
    <w:rsid w:val="00B4528D"/>
    <w:rsid w:val="00B46AE9"/>
    <w:rsid w:val="00B477D2"/>
    <w:rsid w:val="00B532D3"/>
    <w:rsid w:val="00B53546"/>
    <w:rsid w:val="00B5476C"/>
    <w:rsid w:val="00B61535"/>
    <w:rsid w:val="00B643D2"/>
    <w:rsid w:val="00B70ACE"/>
    <w:rsid w:val="00B74E54"/>
    <w:rsid w:val="00B74FFE"/>
    <w:rsid w:val="00B76D4D"/>
    <w:rsid w:val="00B8035F"/>
    <w:rsid w:val="00B852EF"/>
    <w:rsid w:val="00B92DB0"/>
    <w:rsid w:val="00B9345A"/>
    <w:rsid w:val="00B93FFA"/>
    <w:rsid w:val="00B969A0"/>
    <w:rsid w:val="00B96A4A"/>
    <w:rsid w:val="00B96CA8"/>
    <w:rsid w:val="00B96D75"/>
    <w:rsid w:val="00BB08CE"/>
    <w:rsid w:val="00BB45D8"/>
    <w:rsid w:val="00BB486D"/>
    <w:rsid w:val="00BB4F3E"/>
    <w:rsid w:val="00BB577C"/>
    <w:rsid w:val="00BB61C3"/>
    <w:rsid w:val="00BC0857"/>
    <w:rsid w:val="00BC7673"/>
    <w:rsid w:val="00BD5EEF"/>
    <w:rsid w:val="00BE1076"/>
    <w:rsid w:val="00BE247F"/>
    <w:rsid w:val="00BE2667"/>
    <w:rsid w:val="00BE580C"/>
    <w:rsid w:val="00BE75F9"/>
    <w:rsid w:val="00BF1538"/>
    <w:rsid w:val="00BF18FE"/>
    <w:rsid w:val="00BF1F28"/>
    <w:rsid w:val="00BF30A9"/>
    <w:rsid w:val="00BF64F6"/>
    <w:rsid w:val="00BF6717"/>
    <w:rsid w:val="00C001E5"/>
    <w:rsid w:val="00C02DBE"/>
    <w:rsid w:val="00C077AF"/>
    <w:rsid w:val="00C15AAB"/>
    <w:rsid w:val="00C16E6C"/>
    <w:rsid w:val="00C230B8"/>
    <w:rsid w:val="00C26D3F"/>
    <w:rsid w:val="00C34E41"/>
    <w:rsid w:val="00C35838"/>
    <w:rsid w:val="00C35A8B"/>
    <w:rsid w:val="00C45C65"/>
    <w:rsid w:val="00C45D67"/>
    <w:rsid w:val="00C50CE8"/>
    <w:rsid w:val="00C51F20"/>
    <w:rsid w:val="00C52A34"/>
    <w:rsid w:val="00C6072A"/>
    <w:rsid w:val="00C60ABC"/>
    <w:rsid w:val="00C6461D"/>
    <w:rsid w:val="00C6771E"/>
    <w:rsid w:val="00C7098A"/>
    <w:rsid w:val="00C71EBD"/>
    <w:rsid w:val="00C720C3"/>
    <w:rsid w:val="00C73216"/>
    <w:rsid w:val="00C809BA"/>
    <w:rsid w:val="00C878EB"/>
    <w:rsid w:val="00C92D5C"/>
    <w:rsid w:val="00C93556"/>
    <w:rsid w:val="00CA29B9"/>
    <w:rsid w:val="00CA472F"/>
    <w:rsid w:val="00CA6C3F"/>
    <w:rsid w:val="00CB360D"/>
    <w:rsid w:val="00CC0658"/>
    <w:rsid w:val="00CC55A6"/>
    <w:rsid w:val="00CC6058"/>
    <w:rsid w:val="00CD1FAF"/>
    <w:rsid w:val="00CD2E7D"/>
    <w:rsid w:val="00CD34F7"/>
    <w:rsid w:val="00CD3923"/>
    <w:rsid w:val="00CE0AA8"/>
    <w:rsid w:val="00CE158F"/>
    <w:rsid w:val="00CE4706"/>
    <w:rsid w:val="00CE5F68"/>
    <w:rsid w:val="00CF3EAE"/>
    <w:rsid w:val="00D037D6"/>
    <w:rsid w:val="00D04F4C"/>
    <w:rsid w:val="00D0598E"/>
    <w:rsid w:val="00D05AC4"/>
    <w:rsid w:val="00D130DF"/>
    <w:rsid w:val="00D1555A"/>
    <w:rsid w:val="00D205D6"/>
    <w:rsid w:val="00D21BD5"/>
    <w:rsid w:val="00D236FA"/>
    <w:rsid w:val="00D24B65"/>
    <w:rsid w:val="00D25D84"/>
    <w:rsid w:val="00D266F3"/>
    <w:rsid w:val="00D327F8"/>
    <w:rsid w:val="00D41225"/>
    <w:rsid w:val="00D44254"/>
    <w:rsid w:val="00D44BDB"/>
    <w:rsid w:val="00D4512F"/>
    <w:rsid w:val="00D4629E"/>
    <w:rsid w:val="00D469DA"/>
    <w:rsid w:val="00D507C9"/>
    <w:rsid w:val="00D50C5D"/>
    <w:rsid w:val="00D5416C"/>
    <w:rsid w:val="00D5775E"/>
    <w:rsid w:val="00D62573"/>
    <w:rsid w:val="00D64755"/>
    <w:rsid w:val="00D669B4"/>
    <w:rsid w:val="00D66EAE"/>
    <w:rsid w:val="00D80414"/>
    <w:rsid w:val="00D8373A"/>
    <w:rsid w:val="00D84927"/>
    <w:rsid w:val="00D86296"/>
    <w:rsid w:val="00D92BA9"/>
    <w:rsid w:val="00D92F91"/>
    <w:rsid w:val="00DB1A18"/>
    <w:rsid w:val="00DC5B10"/>
    <w:rsid w:val="00DD1ACC"/>
    <w:rsid w:val="00DD2191"/>
    <w:rsid w:val="00DD21BF"/>
    <w:rsid w:val="00DD4182"/>
    <w:rsid w:val="00DD54C5"/>
    <w:rsid w:val="00DD56BE"/>
    <w:rsid w:val="00DD5D37"/>
    <w:rsid w:val="00DE0235"/>
    <w:rsid w:val="00DE1160"/>
    <w:rsid w:val="00DE1637"/>
    <w:rsid w:val="00DE3954"/>
    <w:rsid w:val="00DF094E"/>
    <w:rsid w:val="00DF1E58"/>
    <w:rsid w:val="00E002B6"/>
    <w:rsid w:val="00E04161"/>
    <w:rsid w:val="00E06F97"/>
    <w:rsid w:val="00E121C1"/>
    <w:rsid w:val="00E13552"/>
    <w:rsid w:val="00E13B9E"/>
    <w:rsid w:val="00E218D8"/>
    <w:rsid w:val="00E25624"/>
    <w:rsid w:val="00E325F8"/>
    <w:rsid w:val="00E33A38"/>
    <w:rsid w:val="00E35309"/>
    <w:rsid w:val="00E35E70"/>
    <w:rsid w:val="00E41B7E"/>
    <w:rsid w:val="00E451B3"/>
    <w:rsid w:val="00E47BF7"/>
    <w:rsid w:val="00E47E43"/>
    <w:rsid w:val="00E506B2"/>
    <w:rsid w:val="00E51A07"/>
    <w:rsid w:val="00E56957"/>
    <w:rsid w:val="00E645A8"/>
    <w:rsid w:val="00E6685B"/>
    <w:rsid w:val="00E674F7"/>
    <w:rsid w:val="00E76F16"/>
    <w:rsid w:val="00E77A17"/>
    <w:rsid w:val="00E81292"/>
    <w:rsid w:val="00E923E8"/>
    <w:rsid w:val="00E93037"/>
    <w:rsid w:val="00E97806"/>
    <w:rsid w:val="00EA1D27"/>
    <w:rsid w:val="00EA25E0"/>
    <w:rsid w:val="00EA50F7"/>
    <w:rsid w:val="00EB4C4B"/>
    <w:rsid w:val="00EB4D63"/>
    <w:rsid w:val="00EC11C4"/>
    <w:rsid w:val="00EC46B2"/>
    <w:rsid w:val="00ED16B9"/>
    <w:rsid w:val="00ED6773"/>
    <w:rsid w:val="00EE1496"/>
    <w:rsid w:val="00EE2C13"/>
    <w:rsid w:val="00EE4373"/>
    <w:rsid w:val="00EE4AE3"/>
    <w:rsid w:val="00EF4FBD"/>
    <w:rsid w:val="00EF6F24"/>
    <w:rsid w:val="00F1333A"/>
    <w:rsid w:val="00F33613"/>
    <w:rsid w:val="00F33F03"/>
    <w:rsid w:val="00F36054"/>
    <w:rsid w:val="00F376F5"/>
    <w:rsid w:val="00F43142"/>
    <w:rsid w:val="00F45FEC"/>
    <w:rsid w:val="00F53D78"/>
    <w:rsid w:val="00F70CDF"/>
    <w:rsid w:val="00F70D89"/>
    <w:rsid w:val="00F70DE3"/>
    <w:rsid w:val="00F7146E"/>
    <w:rsid w:val="00F71A1F"/>
    <w:rsid w:val="00F7214C"/>
    <w:rsid w:val="00F75865"/>
    <w:rsid w:val="00F77AAF"/>
    <w:rsid w:val="00F822D0"/>
    <w:rsid w:val="00F83844"/>
    <w:rsid w:val="00F83C94"/>
    <w:rsid w:val="00F83D38"/>
    <w:rsid w:val="00F84935"/>
    <w:rsid w:val="00F86165"/>
    <w:rsid w:val="00F91258"/>
    <w:rsid w:val="00F91544"/>
    <w:rsid w:val="00F92A9A"/>
    <w:rsid w:val="00F92E34"/>
    <w:rsid w:val="00F952C3"/>
    <w:rsid w:val="00F97F6B"/>
    <w:rsid w:val="00FA2053"/>
    <w:rsid w:val="00FA4C41"/>
    <w:rsid w:val="00FA7C08"/>
    <w:rsid w:val="00FB1951"/>
    <w:rsid w:val="00FB4001"/>
    <w:rsid w:val="00FB63AF"/>
    <w:rsid w:val="00FC34C0"/>
    <w:rsid w:val="00FC737F"/>
    <w:rsid w:val="00FD1389"/>
    <w:rsid w:val="00FD5B44"/>
    <w:rsid w:val="00FD65D5"/>
    <w:rsid w:val="00FD66B3"/>
    <w:rsid w:val="00FD78AC"/>
    <w:rsid w:val="00FE483F"/>
    <w:rsid w:val="00FE709A"/>
    <w:rsid w:val="00FF259A"/>
    <w:rsid w:val="00FF3AF3"/>
    <w:rsid w:val="00FF4702"/>
    <w:rsid w:val="00FF798C"/>
    <w:rsid w:val="08A90D2D"/>
    <w:rsid w:val="0D336E17"/>
    <w:rsid w:val="10284C2D"/>
    <w:rsid w:val="10CA5CE4"/>
    <w:rsid w:val="10F468BD"/>
    <w:rsid w:val="1292638E"/>
    <w:rsid w:val="13F310AE"/>
    <w:rsid w:val="14196FF2"/>
    <w:rsid w:val="141D612B"/>
    <w:rsid w:val="157601E9"/>
    <w:rsid w:val="19FE255B"/>
    <w:rsid w:val="1BBF6022"/>
    <w:rsid w:val="1C316C17"/>
    <w:rsid w:val="20390790"/>
    <w:rsid w:val="20A0436C"/>
    <w:rsid w:val="210112AE"/>
    <w:rsid w:val="218912A4"/>
    <w:rsid w:val="22456F79"/>
    <w:rsid w:val="23377209"/>
    <w:rsid w:val="26345C82"/>
    <w:rsid w:val="28E03E9F"/>
    <w:rsid w:val="2927562A"/>
    <w:rsid w:val="2A047719"/>
    <w:rsid w:val="2B4C581C"/>
    <w:rsid w:val="2B980A61"/>
    <w:rsid w:val="2DB45AC9"/>
    <w:rsid w:val="2E1343CF"/>
    <w:rsid w:val="2E5C3FC8"/>
    <w:rsid w:val="2EDE2C2F"/>
    <w:rsid w:val="2F8530AA"/>
    <w:rsid w:val="309335A5"/>
    <w:rsid w:val="325A6A70"/>
    <w:rsid w:val="34050C5E"/>
    <w:rsid w:val="3C5E2982"/>
    <w:rsid w:val="42B06238"/>
    <w:rsid w:val="441445A5"/>
    <w:rsid w:val="44FC39B7"/>
    <w:rsid w:val="450C5235"/>
    <w:rsid w:val="47DA3225"/>
    <w:rsid w:val="4A7B712C"/>
    <w:rsid w:val="4C9149E5"/>
    <w:rsid w:val="4D8E7176"/>
    <w:rsid w:val="51F83758"/>
    <w:rsid w:val="53BC6A8C"/>
    <w:rsid w:val="55883367"/>
    <w:rsid w:val="566E223B"/>
    <w:rsid w:val="59D4172C"/>
    <w:rsid w:val="5E176D14"/>
    <w:rsid w:val="5FE377F5"/>
    <w:rsid w:val="613A700F"/>
    <w:rsid w:val="637733E3"/>
    <w:rsid w:val="638B442C"/>
    <w:rsid w:val="63F518A5"/>
    <w:rsid w:val="64BE25DF"/>
    <w:rsid w:val="65EB7404"/>
    <w:rsid w:val="66862C89"/>
    <w:rsid w:val="670818F0"/>
    <w:rsid w:val="6A8614A9"/>
    <w:rsid w:val="6C7A3290"/>
    <w:rsid w:val="6D6A3304"/>
    <w:rsid w:val="6E922B12"/>
    <w:rsid w:val="71B40FF2"/>
    <w:rsid w:val="74100036"/>
    <w:rsid w:val="748E78D8"/>
    <w:rsid w:val="74E97204"/>
    <w:rsid w:val="774C1DED"/>
    <w:rsid w:val="77630112"/>
    <w:rsid w:val="790E548B"/>
    <w:rsid w:val="7D87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黑体" w:hAnsi="黑体" w:eastAsia="黑体" w:cs="黑体"/>
      <w:sz w:val="36"/>
      <w:szCs w:val="36"/>
    </w:rPr>
  </w:style>
  <w:style w:type="paragraph" w:styleId="3">
    <w:name w:val="Balloon Text"/>
    <w:basedOn w:val="1"/>
    <w:link w:val="17"/>
    <w:qFormat/>
    <w:uiPriority w:val="99"/>
    <w:pPr>
      <w:autoSpaceDE/>
      <w:autoSpaceDN/>
      <w:jc w:val="both"/>
    </w:pPr>
    <w:rPr>
      <w:rFonts w:hAnsi="Times New Roman" w:cs="Times New Roman"/>
      <w:kern w:val="2"/>
      <w:sz w:val="18"/>
      <w:szCs w:val="18"/>
      <w:lang w:val="en-US" w:bidi="ar-SA"/>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0"/>
      <w:ind w:left="713" w:hanging="496"/>
    </w:pPr>
  </w:style>
  <w:style w:type="paragraph" w:customStyle="1" w:styleId="12">
    <w:name w:val="Table Paragraph"/>
    <w:basedOn w:val="1"/>
    <w:qFormat/>
    <w:uiPriority w:val="1"/>
  </w:style>
  <w:style w:type="character" w:customStyle="1" w:styleId="13">
    <w:name w:val="页眉 字符"/>
    <w:basedOn w:val="8"/>
    <w:link w:val="5"/>
    <w:qFormat/>
    <w:uiPriority w:val="99"/>
    <w:rPr>
      <w:rFonts w:ascii="宋体" w:hAnsi="宋体" w:eastAsia="宋体" w:cs="宋体"/>
      <w:sz w:val="18"/>
      <w:szCs w:val="18"/>
      <w:lang w:val="zh-CN" w:eastAsia="zh-CN" w:bidi="zh-CN"/>
    </w:rPr>
  </w:style>
  <w:style w:type="character" w:customStyle="1" w:styleId="14">
    <w:name w:val="页脚 字符1"/>
    <w:basedOn w:val="8"/>
    <w:link w:val="4"/>
    <w:qFormat/>
    <w:uiPriority w:val="99"/>
    <w:rPr>
      <w:rFonts w:ascii="宋体" w:hAnsi="宋体" w:eastAsia="宋体" w:cs="宋体"/>
      <w:sz w:val="18"/>
      <w:szCs w:val="18"/>
      <w:lang w:val="zh-CN" w:eastAsia="zh-CN" w:bidi="zh-CN"/>
    </w:rPr>
  </w:style>
  <w:style w:type="table" w:customStyle="1" w:styleId="15">
    <w:name w:val="网格型1"/>
    <w:basedOn w:val="6"/>
    <w:qFormat/>
    <w:uiPriority w:val="39"/>
    <w:rPr>
      <w:rFonts w:ascii="等线" w:hAnsi="等线" w:eastAsia="等线" w:cs="Times New Roman"/>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批注框文本 Char"/>
    <w:basedOn w:val="8"/>
    <w:semiHidden/>
    <w:qFormat/>
    <w:uiPriority w:val="99"/>
    <w:rPr>
      <w:rFonts w:ascii="宋体" w:hAnsi="宋体" w:eastAsia="宋体" w:cs="宋体"/>
      <w:sz w:val="18"/>
      <w:szCs w:val="18"/>
      <w:lang w:val="zh-CN" w:eastAsia="zh-CN" w:bidi="zh-CN"/>
    </w:rPr>
  </w:style>
  <w:style w:type="character" w:customStyle="1" w:styleId="17">
    <w:name w:val="批注框文本 字符"/>
    <w:link w:val="3"/>
    <w:qFormat/>
    <w:uiPriority w:val="0"/>
    <w:rPr>
      <w:rFonts w:ascii="宋体" w:hAnsi="Times New Roman" w:eastAsia="宋体" w:cs="Times New Roman"/>
      <w:kern w:val="2"/>
      <w:sz w:val="18"/>
      <w:szCs w:val="18"/>
      <w:lang w:eastAsia="zh-CN"/>
    </w:rPr>
  </w:style>
  <w:style w:type="character" w:customStyle="1" w:styleId="18">
    <w:name w:val="页脚 字符"/>
    <w:basedOn w:val="8"/>
    <w:semiHidden/>
    <w:qFormat/>
    <w:uiPriority w:val="99"/>
    <w:rPr>
      <w:rFonts w:ascii="宋体" w:hAnsi="宋体" w:eastAsia="宋体" w:cs="宋体"/>
      <w:sz w:val="18"/>
      <w:szCs w:val="18"/>
      <w:lang w:val="zh-CN" w:eastAsia="zh-CN" w:bidi="zh-CN"/>
    </w:rPr>
  </w:style>
  <w:style w:type="table" w:customStyle="1" w:styleId="19">
    <w:name w:val="Table Normal1"/>
    <w:semiHidden/>
    <w:unhideWhenUsed/>
    <w:qFormat/>
    <w:uiPriority w:val="2"/>
    <w:tblPr>
      <w:tblCellMar>
        <w:top w:w="0" w:type="dxa"/>
        <w:left w:w="0" w:type="dxa"/>
        <w:bottom w:w="0" w:type="dxa"/>
        <w:right w:w="0" w:type="dxa"/>
      </w:tblCellMar>
    </w:tblPr>
  </w:style>
  <w:style w:type="table" w:customStyle="1" w:styleId="20">
    <w:name w:val="Table Normal2"/>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46BBA-6C03-44F8-97DC-2BE38E4D44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1706</Words>
  <Characters>1754</Characters>
  <Lines>14</Lines>
  <Paragraphs>4</Paragraphs>
  <TotalTime>284</TotalTime>
  <ScaleCrop>false</ScaleCrop>
  <LinksUpToDate>false</LinksUpToDate>
  <CharactersWithSpaces>1935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2023-09-13T07:39:00Z</dcterms:created>
  <dc:creator>MC SYSTEM</dc:creator>
  <cp:lastModifiedBy>Arbeitstier</cp:lastModifiedBy>
  <cp:lastPrinted>2025-07-11T00:55:00Z</cp:lastPrinted>
  <dcterms:modified xsi:type="dcterms:W3CDTF">2025-07-11T00:55:03Z</dcterms:modified>
  <dc:title>普通高等学校本科专业设置管理规定</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2052-12.1.0.21915</vt:lpwstr>
  </property>
  <property fmtid="{D5CDD505-2E9C-101B-9397-08002B2CF9AE}" pid="6" name="ICV">
    <vt:lpwstr>BA5D7EE7F6AC4691A13FD5AECFDD6B9D_12</vt:lpwstr>
  </property>
  <property fmtid="{D5CDD505-2E9C-101B-9397-08002B2CF9AE}" pid="7" name="KSOTemplateDocerSaveRecord">
    <vt:lpwstr>eyJoZGlkIjoiYjZhMTI2YjIyMjEyMmQzMjJlMDA4MjYxM2ZmZTM0ZDgiLCJ1c2VySWQiOiI4OTkzODExNDgifQ==</vt:lpwstr>
  </property>
</Properties>
</file>