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东北大学2023年硕士研究生招生考试</w:t>
      </w:r>
    </w:p>
    <w:p>
      <w:pPr>
        <w:spacing w:line="360" w:lineRule="auto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考试大纲</w:t>
      </w:r>
    </w:p>
    <w:p>
      <w:pPr>
        <w:spacing w:before="156" w:beforeLines="50" w:line="360" w:lineRule="auto"/>
        <w:ind w:firstLine="640" w:firstLineChars="200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科目代码：</w:t>
      </w:r>
      <w:r>
        <w:rPr>
          <w:rFonts w:ascii="黑体" w:hAnsi="黑体" w:eastAsia="黑体" w:cs="黑体"/>
          <w:sz w:val="32"/>
          <w:szCs w:val="32"/>
          <w:u w:val="thick"/>
        </w:rPr>
        <w:t>848</w:t>
      </w:r>
      <w:r>
        <w:rPr>
          <w:rFonts w:hint="eastAsia" w:ascii="黑体" w:hAnsi="黑体" w:eastAsia="黑体" w:cs="黑体"/>
          <w:sz w:val="32"/>
          <w:szCs w:val="32"/>
        </w:rPr>
        <w:t>；  科目名称：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矿物分选化学基础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一、考试性质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矿物分选化学基础是矿物加工工程、矿业工程（矿物加工工程）专业硕士生入学考试的业务课。考试对象为参加矿物加工工程、矿业工程（矿物加工工程）专业2023年全国硕士研究生入学考试的准考考生。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二、考试形式与考试时间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（一）考试形式：闭卷，笔试。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（二）考试时间：</w:t>
      </w:r>
      <w:r>
        <w:rPr>
          <w:sz w:val="28"/>
          <w:szCs w:val="28"/>
        </w:rPr>
        <w:t>180</w:t>
      </w:r>
      <w:r>
        <w:rPr>
          <w:rFonts w:hint="eastAsia"/>
          <w:sz w:val="28"/>
          <w:szCs w:val="28"/>
        </w:rPr>
        <w:t>分钟。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三、考查要点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（一）热力学第一定律的概念和应用。其中包括：热力学基本概念；热力学第一定律；焓、热容；热化学。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（二）热力学第二定律。其中包括：卡诺循环；热力学第二定律；熵变计算和应用；亥姆霍兹函数和吉布斯函数。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（三）化学平衡。其中包括：平衡常数；化学反应等温方程；热力学第三定律；化学反应过程熵变计算；活度；溶液中的化学平衡；化学反应速率。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（四）表面现象。其中包括：表面张力和表面自由能；润湿现象；吸附等温方程式；胶体的性质。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（五）电化学。其中包括：法拉第定律；原电池；Nernst方程；电极电势；电解及其应用。</w:t>
      </w:r>
    </w:p>
    <w:p>
      <w:pPr>
        <w:spacing w:line="56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六）浮选理论基础及应用。其中包括：矿物晶体特性；矿物表面的润湿性与可浮性；可浮性指数(粘附功)；矿物表面能和极化作用；矿物表面的水化作用；矿物的内部结构与自然可浮性；矿物在水中的溶解与氧化；两相界面双电层；浮选药剂在矿物表面的吸附及其应用案例。</w:t>
      </w:r>
    </w:p>
    <w:p>
      <w:pPr>
        <w:spacing w:line="56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（七）有机化合物的结构、特点和分类。其中包括：有机化合物的结构；有机化合物的特点；有机化学反应的基本类型；有机化合物的分类。</w:t>
      </w:r>
    </w:p>
    <w:p>
      <w:pPr>
        <w:spacing w:line="56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八）有机化合物的物化性质。其中包括：烷烃、烯烃、炔烃、脂环烃、芳香烃、卤代烃的物理、化学性质；醇、酚和醚的物理、化学性质；醛、酮和醌的物理、化学性质；羧酸及其衍生物的物理、化学性质和制备方法；胺类药剂的物理、化学性质和制备方法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四、计算器使用要求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本科目需要使用科学计算器。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附件1：试题导语参考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一、术语解释题（共30分，共10小题，每小题3分）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二、简答题（共45分，共9小题，每小题5分）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三、计算题（共45分，共5小题，每小题9分）</w:t>
      </w:r>
    </w:p>
    <w:p>
      <w:pPr>
        <w:spacing w:line="56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四、叙述题（共30分，共2小题，每小题15分）</w:t>
      </w:r>
    </w:p>
    <w:p>
      <w:pPr>
        <w:spacing w:line="56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/>
          <w:sz w:val="28"/>
          <w:szCs w:val="28"/>
        </w:rPr>
        <w:t xml:space="preserve">    注：试题导语信息最终以试题命制为准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附件2：参考书目信息</w:t>
      </w:r>
    </w:p>
    <w:p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天津大学物理化学教研室，物理化学</w:t>
      </w:r>
      <w:r>
        <w:rPr>
          <w:rFonts w:ascii="宋体" w:hAnsi="宋体" w:cs="宋体"/>
          <w:sz w:val="28"/>
          <w:szCs w:val="28"/>
        </w:rPr>
        <w:t>(</w:t>
      </w:r>
      <w:r>
        <w:rPr>
          <w:rFonts w:hint="eastAsia" w:ascii="宋体" w:hAnsi="宋体" w:cs="宋体"/>
          <w:sz w:val="28"/>
          <w:szCs w:val="28"/>
        </w:rPr>
        <w:t>第</w:t>
      </w:r>
      <w:r>
        <w:rPr>
          <w:rFonts w:ascii="宋体" w:hAnsi="宋体" w:cs="宋体"/>
          <w:sz w:val="28"/>
          <w:szCs w:val="28"/>
        </w:rPr>
        <w:t>6</w:t>
      </w:r>
      <w:r>
        <w:rPr>
          <w:rFonts w:hint="eastAsia" w:ascii="宋体" w:hAnsi="宋体" w:cs="宋体"/>
          <w:sz w:val="28"/>
          <w:szCs w:val="28"/>
        </w:rPr>
        <w:t>版</w:t>
      </w:r>
      <w:r>
        <w:rPr>
          <w:rFonts w:ascii="宋体" w:hAnsi="宋体" w:cs="宋体"/>
          <w:sz w:val="28"/>
          <w:szCs w:val="28"/>
        </w:rPr>
        <w:t>)</w:t>
      </w:r>
      <w:r>
        <w:rPr>
          <w:rFonts w:hint="eastAsia" w:ascii="宋体" w:hAnsi="宋体" w:cs="宋体"/>
          <w:sz w:val="28"/>
          <w:szCs w:val="28"/>
        </w:rPr>
        <w:t>，高等教育出版社，</w:t>
      </w:r>
      <w:r>
        <w:rPr>
          <w:rFonts w:ascii="宋体" w:hAnsi="宋体" w:cs="宋体"/>
          <w:sz w:val="28"/>
          <w:szCs w:val="28"/>
        </w:rPr>
        <w:t>2017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ascii="宋体" w:hAnsi="宋体" w:cs="宋体"/>
          <w:sz w:val="28"/>
          <w:szCs w:val="28"/>
        </w:rPr>
        <w:t>8</w:t>
      </w:r>
      <w:r>
        <w:rPr>
          <w:rFonts w:hint="eastAsia" w:ascii="宋体" w:hAnsi="宋体" w:cs="宋体"/>
          <w:sz w:val="28"/>
          <w:szCs w:val="28"/>
        </w:rPr>
        <w:t>月；</w:t>
      </w:r>
    </w:p>
    <w:p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张霞、孙挺，无机化学（第2版），冶金工业出版社，</w:t>
      </w:r>
      <w:r>
        <w:rPr>
          <w:rFonts w:ascii="宋体" w:hAnsi="宋体" w:cs="宋体"/>
          <w:sz w:val="28"/>
          <w:szCs w:val="28"/>
        </w:rPr>
        <w:t>2015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ascii="宋体" w:hAnsi="宋体" w:cs="宋体"/>
          <w:sz w:val="28"/>
          <w:szCs w:val="28"/>
        </w:rPr>
        <w:t>8</w:t>
      </w:r>
      <w:r>
        <w:rPr>
          <w:rFonts w:hint="eastAsia" w:ascii="宋体" w:hAnsi="宋体" w:cs="宋体"/>
          <w:sz w:val="28"/>
          <w:szCs w:val="28"/>
        </w:rPr>
        <w:t>月；</w:t>
      </w:r>
    </w:p>
    <w:p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汪小兰，有机化学</w:t>
      </w:r>
      <w:r>
        <w:rPr>
          <w:rFonts w:ascii="宋体" w:hAnsi="宋体" w:cs="宋体"/>
          <w:sz w:val="28"/>
          <w:szCs w:val="28"/>
        </w:rPr>
        <w:t>(</w:t>
      </w:r>
      <w:r>
        <w:rPr>
          <w:rFonts w:hint="eastAsia" w:ascii="宋体" w:hAnsi="宋体" w:cs="宋体"/>
          <w:sz w:val="28"/>
          <w:szCs w:val="28"/>
        </w:rPr>
        <w:t>第五版</w:t>
      </w:r>
      <w:r>
        <w:rPr>
          <w:rFonts w:ascii="宋体" w:hAnsi="宋体" w:cs="宋体"/>
          <w:sz w:val="28"/>
          <w:szCs w:val="28"/>
        </w:rPr>
        <w:t>)</w:t>
      </w:r>
      <w:r>
        <w:rPr>
          <w:rFonts w:hint="eastAsia" w:ascii="宋体" w:hAnsi="宋体" w:cs="宋体"/>
          <w:sz w:val="28"/>
          <w:szCs w:val="28"/>
        </w:rPr>
        <w:t>，高等教育出版社，</w:t>
      </w:r>
      <w:r>
        <w:rPr>
          <w:rFonts w:ascii="宋体" w:hAnsi="宋体" w:cs="宋体"/>
          <w:sz w:val="28"/>
          <w:szCs w:val="28"/>
        </w:rPr>
        <w:t>2017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月；</w:t>
      </w:r>
    </w:p>
    <w:p>
      <w:pPr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魏德洲，固体物料分选学（第</w:t>
      </w: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版）第4篇浮选（第20、21章），冶金工业出版社，</w:t>
      </w:r>
      <w:r>
        <w:rPr>
          <w:rFonts w:ascii="宋体" w:hAnsi="宋体" w:cs="宋体"/>
          <w:sz w:val="28"/>
          <w:szCs w:val="28"/>
        </w:rPr>
        <w:t>2015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ascii="宋体" w:hAnsi="宋体" w:cs="宋体"/>
          <w:sz w:val="28"/>
          <w:szCs w:val="28"/>
        </w:rPr>
        <w:t>8</w:t>
      </w:r>
      <w:r>
        <w:rPr>
          <w:rFonts w:hint="eastAsia" w:ascii="宋体" w:hAnsi="宋体" w:cs="宋体"/>
          <w:sz w:val="28"/>
          <w:szCs w:val="28"/>
        </w:rPr>
        <w:t>月。</w:t>
      </w: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spacing w:line="360" w:lineRule="auto"/>
      </w:pPr>
      <w:r>
        <w:rPr>
          <w:rFonts w:hint="eastAsia" w:ascii="黑体" w:hAnsi="黑体" w:eastAsia="黑体" w:cs="黑体"/>
          <w:sz w:val="28"/>
          <w:szCs w:val="28"/>
        </w:rPr>
        <w:t xml:space="preserve"> </w:t>
      </w:r>
      <w:r>
        <w:drawing>
          <wp:inline distT="0" distB="0" distL="114300" distR="114300">
            <wp:extent cx="2987040" cy="2422525"/>
            <wp:effectExtent l="0" t="0" r="3810" b="6350"/>
            <wp:docPr id="1" name="图片 1" descr="src=http%3A%2F%2F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rc=http%3A%2F%2Fimg"/>
                    <pic:cNvPicPr>
                      <a:picLocks noChangeAspect="1"/>
                    </pic:cNvPicPr>
                  </pic:nvPicPr>
                  <pic:blipFill>
                    <a:blip r:embed="rId4"/>
                    <a:srcRect l="-375" t="18819"/>
                    <a:stretch>
                      <a:fillRect/>
                    </a:stretch>
                  </pic:blipFill>
                  <pic:spPr>
                    <a:xfrm>
                      <a:off x="0" y="0"/>
                      <a:ext cx="2987040" cy="242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 w:val="28"/>
          <w:szCs w:val="28"/>
        </w:rPr>
        <w:t xml:space="preserve">    </w:t>
      </w:r>
      <w:r>
        <w:drawing>
          <wp:inline distT="0" distB="0" distL="114300" distR="114300">
            <wp:extent cx="2021840" cy="2987040"/>
            <wp:effectExtent l="0" t="0" r="6985" b="3810"/>
            <wp:docPr id="2" name="图片 2" descr="src=http%3A%2F%2Fimg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src=http%3A%2F%2Fimg12"/>
                    <pic:cNvPicPr>
                      <a:picLocks noChangeAspect="1"/>
                    </pic:cNvPicPr>
                  </pic:nvPicPr>
                  <pic:blipFill>
                    <a:blip r:embed="rId5"/>
                    <a:srcRect l="14691" t="-325" r="18202" b="954"/>
                    <a:stretch>
                      <a:fillRect/>
                    </a:stretch>
                  </pic:blipFill>
                  <pic:spPr>
                    <a:xfrm>
                      <a:off x="0" y="0"/>
                      <a:ext cx="2021840" cy="298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drawing>
          <wp:inline distT="0" distB="0" distL="114300" distR="114300">
            <wp:extent cx="2211070" cy="2872105"/>
            <wp:effectExtent l="0" t="0" r="8255" b="4445"/>
            <wp:docPr id="3" name="图片 3" descr="e83977c2ab0e62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83977c2ab0e62a0"/>
                    <pic:cNvPicPr>
                      <a:picLocks noChangeAspect="1"/>
                    </pic:cNvPicPr>
                  </pic:nvPicPr>
                  <pic:blipFill>
                    <a:blip r:embed="rId6"/>
                    <a:srcRect l="33543" t="13737"/>
                    <a:stretch>
                      <a:fillRect/>
                    </a:stretch>
                  </pic:blipFill>
                  <pic:spPr>
                    <a:xfrm>
                      <a:off x="0" y="0"/>
                      <a:ext cx="2211070" cy="287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>
        <w:drawing>
          <wp:inline distT="0" distB="0" distL="114300" distR="114300">
            <wp:extent cx="2228850" cy="2947670"/>
            <wp:effectExtent l="0" t="0" r="0" b="508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rcRect l="30821" t="5530" r="30255" b="8960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94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eastAsia="宋体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以上信息仅供参考</w:t>
      </w:r>
      <w:bookmarkStart w:id="0" w:name="_GoBack"/>
      <w:bookmarkEnd w:id="0"/>
    </w:p>
    <w:p>
      <w:pPr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</w:p>
    <w:sectPr>
      <w:pgSz w:w="11906" w:h="16838"/>
      <w:pgMar w:top="1928" w:right="1417" w:bottom="1701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hNWI1N2M2OGQ4MTA0ZDBkNTg2ZjBlYzczOTllYWUifQ=="/>
  </w:docVars>
  <w:rsids>
    <w:rsidRoot w:val="008555A2"/>
    <w:rsid w:val="0005393C"/>
    <w:rsid w:val="00137B27"/>
    <w:rsid w:val="00243262"/>
    <w:rsid w:val="00315F52"/>
    <w:rsid w:val="006A2C61"/>
    <w:rsid w:val="008555A2"/>
    <w:rsid w:val="00881227"/>
    <w:rsid w:val="008B23B3"/>
    <w:rsid w:val="008F167A"/>
    <w:rsid w:val="00926FE1"/>
    <w:rsid w:val="00976FFE"/>
    <w:rsid w:val="00A156A1"/>
    <w:rsid w:val="00A31F08"/>
    <w:rsid w:val="00A739A8"/>
    <w:rsid w:val="00AB2F27"/>
    <w:rsid w:val="00AC4B9D"/>
    <w:rsid w:val="00B76227"/>
    <w:rsid w:val="00C22D3D"/>
    <w:rsid w:val="00CF3176"/>
    <w:rsid w:val="00D54A21"/>
    <w:rsid w:val="00E03A5E"/>
    <w:rsid w:val="00E23A6F"/>
    <w:rsid w:val="07490B7B"/>
    <w:rsid w:val="146E6F0B"/>
    <w:rsid w:val="318B010D"/>
    <w:rsid w:val="36C36F3A"/>
    <w:rsid w:val="4B8558CF"/>
    <w:rsid w:val="4CB1395B"/>
    <w:rsid w:val="5E0E2C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qFormat/>
    <w:uiPriority w:val="99"/>
    <w:rPr>
      <w:sz w:val="18"/>
      <w:szCs w:val="18"/>
    </w:rPr>
  </w:style>
  <w:style w:type="character" w:customStyle="1" w:styleId="7">
    <w:name w:val="页眉 字符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998</Words>
  <Characters>1033</Characters>
  <Lines>13</Lines>
  <Paragraphs>3</Paragraphs>
  <TotalTime>1</TotalTime>
  <ScaleCrop>false</ScaleCrop>
  <LinksUpToDate>false</LinksUpToDate>
  <CharactersWithSpaces>1063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2021-07-09T06:37:00Z</dcterms:created>
  <dc:creator>Administrator</dc:creator>
  <cp:lastModifiedBy>辛明阳</cp:lastModifiedBy>
  <dcterms:modified xsi:type="dcterms:W3CDTF">2022-09-06T07:27:27Z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27EFD59058094A50AABD025F0DAA1FE2</vt:lpwstr>
  </property>
</Properties>
</file>